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lang w:val="en-AU"/>
        </w:rPr>
        <w:alias w:val="Title"/>
        <w:tag w:val=""/>
        <w:id w:val="-509987125"/>
        <w:placeholder>
          <w:docPart w:val="939FFD618A1D4CAB88F9CD04A9504FF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:rsidR="00806800" w:rsidRDefault="00D06548" w:rsidP="00806800">
          <w:pPr>
            <w:pStyle w:val="NTGCoverPageTitle"/>
            <w:rPr>
              <w:lang w:val="en-AU"/>
            </w:rPr>
          </w:pPr>
          <w:r>
            <w:rPr>
              <w:lang w:val="en-AU"/>
            </w:rPr>
            <w:t>Video Conferencing</w:t>
          </w:r>
        </w:p>
      </w:sdtContent>
    </w:sdt>
    <w:p w:rsidR="00D06548" w:rsidRPr="00D06548" w:rsidRDefault="00332E77" w:rsidP="00332E77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V</w:t>
      </w:r>
      <w:r w:rsidR="00D06548" w:rsidRPr="00D06548">
        <w:rPr>
          <w:sz w:val="28"/>
          <w:szCs w:val="28"/>
        </w:rPr>
        <w:t>ideo conferencing device</w:t>
      </w:r>
      <w:r>
        <w:rPr>
          <w:sz w:val="28"/>
          <w:szCs w:val="28"/>
        </w:rPr>
        <w:t xml:space="preserve">s must comply with </w:t>
      </w:r>
      <w:r w:rsidR="00D06548" w:rsidRPr="00D06548">
        <w:rPr>
          <w:sz w:val="28"/>
          <w:szCs w:val="28"/>
        </w:rPr>
        <w:t xml:space="preserve">industry standard protocols and </w:t>
      </w:r>
      <w:r>
        <w:rPr>
          <w:sz w:val="28"/>
          <w:szCs w:val="28"/>
        </w:rPr>
        <w:t xml:space="preserve">be securely </w:t>
      </w:r>
      <w:r w:rsidR="00D06548" w:rsidRPr="00D06548">
        <w:rPr>
          <w:sz w:val="28"/>
          <w:szCs w:val="28"/>
        </w:rPr>
        <w:t>deployed</w:t>
      </w:r>
      <w:r>
        <w:rPr>
          <w:sz w:val="28"/>
          <w:szCs w:val="28"/>
        </w:rPr>
        <w:t>.</w:t>
      </w:r>
      <w:r w:rsidR="00D06548" w:rsidRPr="00D06548">
        <w:rPr>
          <w:sz w:val="28"/>
          <w:szCs w:val="28"/>
        </w:rPr>
        <w:t xml:space="preserve"> </w:t>
      </w:r>
    </w:p>
    <w:p w:rsidR="00705033" w:rsidRDefault="00582F79" w:rsidP="00027D9F">
      <w:pPr>
        <w:pStyle w:val="NTGCoverPageDate"/>
      </w:pPr>
      <w:r>
        <w:fldChar w:fldCharType="begin"/>
      </w:r>
      <w:r>
        <w:instrText xml:space="preserve"> DOCPROPERTY  DocumentDate  \* MERGEFORMAT </w:instrText>
      </w:r>
      <w:r>
        <w:fldChar w:fldCharType="separate"/>
      </w:r>
      <w:r w:rsidR="008A07F5">
        <w:t>26 October 2017</w:t>
      </w:r>
      <w:r>
        <w:fldChar w:fldCharType="end"/>
      </w:r>
    </w:p>
    <w:p w:rsidR="005D269A" w:rsidRPr="002E3B83" w:rsidRDefault="005D269A" w:rsidP="00F778CF">
      <w:pPr>
        <w:pStyle w:val="NTGCoverPageVersion"/>
        <w:rPr>
          <w:rFonts w:eastAsiaTheme="majorEastAsia"/>
        </w:rPr>
      </w:pPr>
      <w:r>
        <w:rPr>
          <w:rFonts w:eastAsiaTheme="majorEastAsia"/>
        </w:rPr>
        <w:t>Version </w:t>
      </w:r>
      <w:r w:rsidR="00D06548">
        <w:rPr>
          <w:rFonts w:eastAsiaTheme="majorEastAsia"/>
        </w:rPr>
        <w:t>2.0</w:t>
      </w:r>
    </w:p>
    <w:p w:rsidR="00634329" w:rsidRPr="002E3B83" w:rsidRDefault="00634329" w:rsidP="00420C06">
      <w:pPr>
        <w:sectPr w:rsidR="00634329" w:rsidRPr="002E3B83" w:rsidSect="000D360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119" w:right="1134" w:bottom="1701" w:left="1134" w:header="709" w:footer="0" w:gutter="0"/>
          <w:cols w:space="708"/>
          <w:titlePg/>
          <w:docGrid w:linePitch="360"/>
        </w:sectPr>
      </w:pPr>
    </w:p>
    <w:sdt>
      <w:sdtPr>
        <w:rPr>
          <w:rFonts w:eastAsia="Times New Roman" w:cs="Times New Roman"/>
          <w:b w:val="0"/>
          <w:bCs w:val="0"/>
          <w:sz w:val="22"/>
          <w:szCs w:val="32"/>
          <w:lang w:eastAsia="en-AU"/>
        </w:rPr>
        <w:id w:val="-88318220"/>
        <w:docPartObj>
          <w:docPartGallery w:val="Table of Contents"/>
          <w:docPartUnique/>
        </w:docPartObj>
      </w:sdtPr>
      <w:sdtEndPr>
        <w:rPr>
          <w:rFonts w:eastAsia="Calibri"/>
          <w:b/>
          <w:noProof/>
          <w:szCs w:val="24"/>
          <w:lang w:eastAsia="en-US"/>
        </w:rPr>
      </w:sdtEndPr>
      <w:sdtContent>
        <w:p w:rsidR="003758FE" w:rsidRPr="002E3B83" w:rsidRDefault="003758FE" w:rsidP="002B5FF8">
          <w:pPr>
            <w:pStyle w:val="TOCHeading"/>
          </w:pPr>
          <w:r w:rsidRPr="002E3B83">
            <w:t>Contents</w:t>
          </w:r>
        </w:p>
        <w:p w:rsidR="00477F79" w:rsidRDefault="003758FE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Cs w:val="22"/>
              <w:lang w:eastAsia="en-AU"/>
            </w:rPr>
          </w:pPr>
          <w:r w:rsidRPr="002E3B83">
            <w:fldChar w:fldCharType="begin"/>
          </w:r>
          <w:r w:rsidRPr="002E3B83">
            <w:instrText xml:space="preserve"> TOC \o "1-</w:instrText>
          </w:r>
          <w:r w:rsidR="00C04CB9">
            <w:instrText>2</w:instrText>
          </w:r>
          <w:r w:rsidRPr="002E3B83">
            <w:instrText xml:space="preserve">" \h \z \u </w:instrText>
          </w:r>
          <w:r w:rsidRPr="002E3B83">
            <w:fldChar w:fldCharType="separate"/>
          </w:r>
          <w:hyperlink w:anchor="_Toc496872222" w:history="1">
            <w:r w:rsidR="00477F79" w:rsidRPr="00324B9A">
              <w:rPr>
                <w:rStyle w:val="Hyperlink"/>
                <w:noProof/>
              </w:rPr>
              <w:t>1</w:t>
            </w:r>
            <w:r w:rsidR="00477F79">
              <w:rPr>
                <w:rFonts w:asciiTheme="minorHAnsi" w:eastAsiaTheme="minorEastAsia" w:hAnsiTheme="minorHAnsi" w:cstheme="minorBidi"/>
                <w:b w:val="0"/>
                <w:noProof/>
                <w:szCs w:val="22"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Purpose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_Toc496872222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3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Cs w:val="22"/>
              <w:lang w:eastAsia="en-AU"/>
            </w:rPr>
          </w:pPr>
          <w:hyperlink w:anchor="_Toc496872223" w:history="1">
            <w:r w:rsidR="00477F79" w:rsidRPr="00324B9A">
              <w:rPr>
                <w:rStyle w:val="Hyperlink"/>
                <w:noProof/>
              </w:rPr>
              <w:t>2</w:t>
            </w:r>
            <w:r w:rsidR="00477F79">
              <w:rPr>
                <w:rFonts w:asciiTheme="minorHAnsi" w:eastAsiaTheme="minorEastAsia" w:hAnsiTheme="minorHAnsi" w:cstheme="minorBidi"/>
                <w:b w:val="0"/>
                <w:noProof/>
                <w:szCs w:val="22"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Scope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_Toc496872223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3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2"/>
            <w:rPr>
              <w:rFonts w:asciiTheme="minorHAnsi" w:eastAsiaTheme="minorEastAsia" w:hAnsiTheme="minorHAnsi" w:cstheme="minorBidi"/>
              <w:noProof/>
              <w:lang w:eastAsia="en-AU"/>
            </w:rPr>
          </w:pPr>
          <w:hyperlink w:anchor="_Toc496872224" w:history="1">
            <w:r w:rsidR="00477F79" w:rsidRPr="00324B9A">
              <w:rPr>
                <w:rStyle w:val="Hyperlink"/>
                <w:noProof/>
              </w:rPr>
              <w:t>2.1</w:t>
            </w:r>
            <w:r w:rsidR="00477F79">
              <w:rPr>
                <w:rFonts w:asciiTheme="minorHAnsi" w:eastAsiaTheme="minorEastAsia" w:hAnsiTheme="minorHAnsi" w:cstheme="minorBidi"/>
                <w:noProof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In Scope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_Toc496872224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3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2"/>
            <w:rPr>
              <w:rFonts w:asciiTheme="minorHAnsi" w:eastAsiaTheme="minorEastAsia" w:hAnsiTheme="minorHAnsi" w:cstheme="minorBidi"/>
              <w:noProof/>
              <w:lang w:eastAsia="en-AU"/>
            </w:rPr>
          </w:pPr>
          <w:hyperlink w:anchor="_Toc496872225" w:history="1">
            <w:r w:rsidR="00477F79" w:rsidRPr="00324B9A">
              <w:rPr>
                <w:rStyle w:val="Hyperlink"/>
                <w:noProof/>
              </w:rPr>
              <w:t>2.2</w:t>
            </w:r>
            <w:r w:rsidR="00477F79">
              <w:rPr>
                <w:rFonts w:asciiTheme="minorHAnsi" w:eastAsiaTheme="minorEastAsia" w:hAnsiTheme="minorHAnsi" w:cstheme="minorBidi"/>
                <w:noProof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Out of Scope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_Toc496872225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3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Cs w:val="22"/>
              <w:lang w:eastAsia="en-AU"/>
            </w:rPr>
          </w:pPr>
          <w:hyperlink w:anchor="_Toc496872226" w:history="1">
            <w:r w:rsidR="00477F79" w:rsidRPr="00324B9A">
              <w:rPr>
                <w:rStyle w:val="Hyperlink"/>
                <w:noProof/>
              </w:rPr>
              <w:t>3</w:t>
            </w:r>
            <w:r w:rsidR="00477F79">
              <w:rPr>
                <w:rFonts w:asciiTheme="minorHAnsi" w:eastAsiaTheme="minorEastAsia" w:hAnsiTheme="minorHAnsi" w:cstheme="minorBidi"/>
                <w:b w:val="0"/>
                <w:noProof/>
                <w:szCs w:val="22"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Responsibilities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_Toc496872226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3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Cs w:val="22"/>
              <w:lang w:eastAsia="en-AU"/>
            </w:rPr>
          </w:pPr>
          <w:hyperlink w:anchor="_Toc496872227" w:history="1">
            <w:r w:rsidR="00477F79" w:rsidRPr="00324B9A">
              <w:rPr>
                <w:rStyle w:val="Hyperlink"/>
                <w:noProof/>
              </w:rPr>
              <w:t>4</w:t>
            </w:r>
            <w:r w:rsidR="00477F79">
              <w:rPr>
                <w:rFonts w:asciiTheme="minorHAnsi" w:eastAsiaTheme="minorEastAsia" w:hAnsiTheme="minorHAnsi" w:cstheme="minorBidi"/>
                <w:b w:val="0"/>
                <w:noProof/>
                <w:szCs w:val="22"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Policy Statements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_Toc496872227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4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2"/>
            <w:rPr>
              <w:rFonts w:asciiTheme="minorHAnsi" w:eastAsiaTheme="minorEastAsia" w:hAnsiTheme="minorHAnsi" w:cstheme="minorBidi"/>
              <w:noProof/>
              <w:lang w:eastAsia="en-AU"/>
            </w:rPr>
          </w:pPr>
          <w:hyperlink w:anchor="_Toc496872228" w:history="1">
            <w:r w:rsidR="00477F79" w:rsidRPr="00324B9A">
              <w:rPr>
                <w:rStyle w:val="Hyperlink"/>
                <w:noProof/>
              </w:rPr>
              <w:t>4.2</w:t>
            </w:r>
            <w:r w:rsidR="00477F79">
              <w:rPr>
                <w:rFonts w:asciiTheme="minorHAnsi" w:eastAsiaTheme="minorEastAsia" w:hAnsiTheme="minorHAnsi" w:cstheme="minorBidi"/>
                <w:noProof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Before procuring new video conferencing devices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_Toc496872228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4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2"/>
            <w:rPr>
              <w:rFonts w:asciiTheme="minorHAnsi" w:eastAsiaTheme="minorEastAsia" w:hAnsiTheme="minorHAnsi" w:cstheme="minorBidi"/>
              <w:noProof/>
              <w:lang w:eastAsia="en-AU"/>
            </w:rPr>
          </w:pPr>
          <w:hyperlink w:anchor="_Toc496872229" w:history="1">
            <w:r w:rsidR="00477F79" w:rsidRPr="00324B9A">
              <w:rPr>
                <w:rStyle w:val="Hyperlink"/>
                <w:noProof/>
              </w:rPr>
              <w:t>4.3</w:t>
            </w:r>
            <w:r w:rsidR="00477F79">
              <w:rPr>
                <w:rFonts w:asciiTheme="minorHAnsi" w:eastAsiaTheme="minorEastAsia" w:hAnsiTheme="minorHAnsi" w:cstheme="minorBidi"/>
                <w:noProof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Complying with requirements specified on NTG Central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_Toc496872229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4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2"/>
            <w:rPr>
              <w:rFonts w:asciiTheme="minorHAnsi" w:eastAsiaTheme="minorEastAsia" w:hAnsiTheme="minorHAnsi" w:cstheme="minorBidi"/>
              <w:noProof/>
              <w:lang w:eastAsia="en-AU"/>
            </w:rPr>
          </w:pPr>
          <w:hyperlink w:anchor="_Toc496872230" w:history="1">
            <w:r w:rsidR="00477F79" w:rsidRPr="00324B9A">
              <w:rPr>
                <w:rStyle w:val="Hyperlink"/>
                <w:noProof/>
              </w:rPr>
              <w:t>4.4</w:t>
            </w:r>
            <w:r w:rsidR="00477F79">
              <w:rPr>
                <w:rFonts w:asciiTheme="minorHAnsi" w:eastAsiaTheme="minorEastAsia" w:hAnsiTheme="minorHAnsi" w:cstheme="minorBidi"/>
                <w:noProof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Direct connections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_Toc496872230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4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Cs w:val="22"/>
              <w:lang w:eastAsia="en-AU"/>
            </w:rPr>
          </w:pPr>
          <w:hyperlink w:anchor="_Toc496872231" w:history="1">
            <w:r w:rsidR="00477F79" w:rsidRPr="00324B9A">
              <w:rPr>
                <w:rStyle w:val="Hyperlink"/>
                <w:noProof/>
              </w:rPr>
              <w:t>5</w:t>
            </w:r>
            <w:r w:rsidR="00477F79">
              <w:rPr>
                <w:rFonts w:asciiTheme="minorHAnsi" w:eastAsiaTheme="minorEastAsia" w:hAnsiTheme="minorHAnsi" w:cstheme="minorBidi"/>
                <w:b w:val="0"/>
                <w:noProof/>
                <w:szCs w:val="22"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Contact details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_Toc496872231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5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Cs w:val="22"/>
              <w:lang w:eastAsia="en-AU"/>
            </w:rPr>
          </w:pPr>
          <w:hyperlink w:anchor="_Toc496872232" w:history="1">
            <w:r w:rsidR="00477F79" w:rsidRPr="00324B9A">
              <w:rPr>
                <w:rStyle w:val="Hyperlink"/>
                <w:noProof/>
              </w:rPr>
              <w:t>6</w:t>
            </w:r>
            <w:r w:rsidR="00477F79">
              <w:rPr>
                <w:rFonts w:asciiTheme="minorHAnsi" w:eastAsiaTheme="minorEastAsia" w:hAnsiTheme="minorHAnsi" w:cstheme="minorBidi"/>
                <w:b w:val="0"/>
                <w:noProof/>
                <w:szCs w:val="22"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Definitions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_Toc496872232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5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Cs w:val="22"/>
              <w:lang w:eastAsia="en-AU"/>
            </w:rPr>
          </w:pPr>
          <w:hyperlink w:anchor="_Toc496872233" w:history="1">
            <w:r w:rsidR="00477F79" w:rsidRPr="00324B9A">
              <w:rPr>
                <w:rStyle w:val="Hyperlink"/>
                <w:noProof/>
              </w:rPr>
              <w:t>7</w:t>
            </w:r>
            <w:r w:rsidR="00477F79">
              <w:rPr>
                <w:rFonts w:asciiTheme="minorHAnsi" w:eastAsiaTheme="minorEastAsia" w:hAnsiTheme="minorHAnsi" w:cstheme="minorBidi"/>
                <w:b w:val="0"/>
                <w:noProof/>
                <w:szCs w:val="22"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Glossary of Acronyms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_Toc496872233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5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477F79" w:rsidRDefault="00582F7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Cs w:val="22"/>
              <w:lang w:eastAsia="en-AU"/>
            </w:rPr>
          </w:pPr>
          <w:hyperlink w:anchor="_Toc496872234" w:history="1">
            <w:r w:rsidR="00477F79" w:rsidRPr="00324B9A">
              <w:rPr>
                <w:rStyle w:val="Hyperlink"/>
                <w:noProof/>
              </w:rPr>
              <w:t>8</w:t>
            </w:r>
            <w:r w:rsidR="00477F79">
              <w:rPr>
                <w:rFonts w:asciiTheme="minorHAnsi" w:eastAsiaTheme="minorEastAsia" w:hAnsiTheme="minorHAnsi" w:cstheme="minorBidi"/>
                <w:b w:val="0"/>
                <w:noProof/>
                <w:szCs w:val="22"/>
                <w:lang w:eastAsia="en-AU"/>
              </w:rPr>
              <w:tab/>
            </w:r>
            <w:r w:rsidR="00477F79" w:rsidRPr="00324B9A">
              <w:rPr>
                <w:rStyle w:val="Hyperlink"/>
                <w:noProof/>
              </w:rPr>
              <w:t>Document control</w:t>
            </w:r>
            <w:r w:rsidR="00477F79">
              <w:rPr>
                <w:noProof/>
                <w:webHidden/>
              </w:rPr>
              <w:tab/>
            </w:r>
            <w:r w:rsidR="00477F79">
              <w:rPr>
                <w:noProof/>
                <w:webHidden/>
              </w:rPr>
              <w:fldChar w:fldCharType="begin"/>
            </w:r>
            <w:r w:rsidR="00477F79">
              <w:rPr>
                <w:noProof/>
                <w:webHidden/>
              </w:rPr>
              <w:instrText xml:space="preserve"> PAGEREF _Toc496872234 \h </w:instrText>
            </w:r>
            <w:r w:rsidR="00477F79">
              <w:rPr>
                <w:noProof/>
                <w:webHidden/>
              </w:rPr>
            </w:r>
            <w:r w:rsidR="00477F79">
              <w:rPr>
                <w:noProof/>
                <w:webHidden/>
              </w:rPr>
              <w:fldChar w:fldCharType="separate"/>
            </w:r>
            <w:r w:rsidR="00A05340">
              <w:rPr>
                <w:noProof/>
                <w:webHidden/>
              </w:rPr>
              <w:t>6</w:t>
            </w:r>
            <w:r w:rsidR="00477F79">
              <w:rPr>
                <w:noProof/>
                <w:webHidden/>
              </w:rPr>
              <w:fldChar w:fldCharType="end"/>
            </w:r>
          </w:hyperlink>
        </w:p>
        <w:p w:rsidR="003758FE" w:rsidRPr="002E3B83" w:rsidRDefault="003758FE" w:rsidP="00E72867">
          <w:pPr>
            <w:pStyle w:val="TOC1"/>
          </w:pPr>
          <w:r w:rsidRPr="002E3B83">
            <w:rPr>
              <w:b w:val="0"/>
              <w:bCs/>
              <w:noProof/>
            </w:rPr>
            <w:fldChar w:fldCharType="end"/>
          </w:r>
        </w:p>
      </w:sdtContent>
    </w:sdt>
    <w:p w:rsidR="00216DAC" w:rsidRDefault="00216DAC" w:rsidP="00E72867">
      <w:pPr>
        <w:spacing w:line="720" w:lineRule="auto"/>
      </w:pPr>
    </w:p>
    <w:p w:rsidR="00216DAC" w:rsidRPr="00216DAC" w:rsidRDefault="00216DAC" w:rsidP="00216DAC">
      <w:pPr>
        <w:pStyle w:val="BlockText"/>
        <w:rPr>
          <w:b/>
        </w:rPr>
      </w:pPr>
      <w:r w:rsidRPr="00216DAC">
        <w:rPr>
          <w:b/>
        </w:rPr>
        <w:t>Authority</w:t>
      </w:r>
    </w:p>
    <w:p w:rsidR="00420C06" w:rsidRDefault="00D06548" w:rsidP="00420C06">
      <w:r>
        <w:t>Treasurer’s Direction – Information and Communications Technology (ICT) 1-2 ICT Policies and Standards</w:t>
      </w:r>
    </w:p>
    <w:p w:rsidR="008021DF" w:rsidRDefault="008021DF" w:rsidP="008021DF">
      <w:pPr>
        <w:pStyle w:val="BlockText"/>
      </w:pPr>
    </w:p>
    <w:p w:rsidR="008021DF" w:rsidRDefault="008021DF" w:rsidP="00420C06"/>
    <w:p w:rsidR="008021DF" w:rsidRPr="002E3B83" w:rsidRDefault="008021DF" w:rsidP="00420C06">
      <w:pPr>
        <w:sectPr w:rsidR="008021DF" w:rsidRPr="002E3B83" w:rsidSect="00C756B9">
          <w:headerReference w:type="first" r:id="rId12"/>
          <w:pgSz w:w="11906" w:h="16838" w:code="9"/>
          <w:pgMar w:top="1134" w:right="1134" w:bottom="1134" w:left="1134" w:header="709" w:footer="0" w:gutter="0"/>
          <w:cols w:space="708"/>
          <w:titlePg/>
          <w:docGrid w:linePitch="360"/>
        </w:sectPr>
      </w:pPr>
    </w:p>
    <w:p w:rsidR="000D3600" w:rsidRPr="000D3600" w:rsidRDefault="000D3600" w:rsidP="002B5FF8">
      <w:pPr>
        <w:pStyle w:val="Heading1"/>
      </w:pPr>
      <w:bookmarkStart w:id="0" w:name="_Toc447101501"/>
      <w:bookmarkStart w:id="1" w:name="_Toc496872222"/>
      <w:r w:rsidRPr="000D3600">
        <w:lastRenderedPageBreak/>
        <w:t>Purpose</w:t>
      </w:r>
      <w:bookmarkEnd w:id="0"/>
      <w:bookmarkEnd w:id="1"/>
    </w:p>
    <w:p w:rsidR="00653FC6" w:rsidRDefault="00D06548" w:rsidP="00653FC6">
      <w:pPr>
        <w:pStyle w:val="BlockText"/>
      </w:pPr>
      <w:r w:rsidRPr="009C315A">
        <w:t>Video conferencing devices may be used throughout the Northern Territory Government (NTG) to facilitate communication and t</w:t>
      </w:r>
      <w:r>
        <w:t>o</w:t>
      </w:r>
      <w:r w:rsidRPr="009C315A">
        <w:t xml:space="preserve"> conduct </w:t>
      </w:r>
      <w:r w:rsidR="00FA4145">
        <w:t>A</w:t>
      </w:r>
      <w:r w:rsidRPr="009C315A">
        <w:t>gency business.</w:t>
      </w:r>
      <w:r>
        <w:t xml:space="preserve"> </w:t>
      </w:r>
      <w:r w:rsidRPr="009C315A">
        <w:t xml:space="preserve">This </w:t>
      </w:r>
      <w:r>
        <w:t>Policy</w:t>
      </w:r>
      <w:r w:rsidRPr="009C315A">
        <w:t xml:space="preserve"> establishes requirements </w:t>
      </w:r>
      <w:r w:rsidR="00FA4145">
        <w:t>for</w:t>
      </w:r>
      <w:r w:rsidRPr="009C315A">
        <w:t xml:space="preserve"> video conferencing devices used within the NTG Information and Communications Technology (ICT) environment and their users.</w:t>
      </w:r>
    </w:p>
    <w:p w:rsidR="000D3600" w:rsidRPr="000D3600" w:rsidRDefault="000D3600" w:rsidP="002B5FF8">
      <w:pPr>
        <w:pStyle w:val="Heading1"/>
      </w:pPr>
      <w:bookmarkStart w:id="2" w:name="_Toc496872223"/>
      <w:bookmarkStart w:id="3" w:name="_Toc447101503"/>
      <w:r w:rsidRPr="000D3600">
        <w:t>Scope</w:t>
      </w:r>
      <w:bookmarkEnd w:id="2"/>
      <w:r w:rsidRPr="000D3600">
        <w:t xml:space="preserve"> </w:t>
      </w:r>
      <w:bookmarkEnd w:id="3"/>
    </w:p>
    <w:p w:rsidR="000D3600" w:rsidRDefault="00332E77" w:rsidP="000D3600">
      <w:pPr>
        <w:pStyle w:val="NoSpacing"/>
      </w:pPr>
      <w:r>
        <w:t xml:space="preserve">This Policy applies to </w:t>
      </w:r>
      <w:r w:rsidR="00D06548">
        <w:t xml:space="preserve">NTG staff and service providers responsible for the implementation and management of video conferencing </w:t>
      </w:r>
      <w:r w:rsidR="00FA4145">
        <w:t>devices</w:t>
      </w:r>
      <w:r w:rsidR="00D06548">
        <w:t>.</w:t>
      </w:r>
    </w:p>
    <w:p w:rsidR="000D3600" w:rsidRDefault="000D3600" w:rsidP="002B5FF8">
      <w:pPr>
        <w:pStyle w:val="Heading2"/>
      </w:pPr>
      <w:bookmarkStart w:id="4" w:name="_Toc447101504"/>
      <w:bookmarkStart w:id="5" w:name="_Toc445283012"/>
      <w:bookmarkStart w:id="6" w:name="_Toc496872224"/>
      <w:r>
        <w:t>In Scope</w:t>
      </w:r>
      <w:bookmarkEnd w:id="4"/>
      <w:bookmarkEnd w:id="5"/>
      <w:bookmarkEnd w:id="6"/>
    </w:p>
    <w:p w:rsidR="008021DF" w:rsidRPr="008021DF" w:rsidRDefault="00D06548" w:rsidP="00356F18">
      <w:pPr>
        <w:pStyle w:val="NumberedPara"/>
      </w:pPr>
      <w:r>
        <w:t xml:space="preserve">This Policy applies to the procurement and use of video conferencing devices by NTG </w:t>
      </w:r>
      <w:r w:rsidR="00FA4145">
        <w:t>A</w:t>
      </w:r>
      <w:r>
        <w:t>gencies.</w:t>
      </w:r>
    </w:p>
    <w:p w:rsidR="000D3600" w:rsidRDefault="000D3600" w:rsidP="002B5FF8">
      <w:pPr>
        <w:pStyle w:val="Heading2"/>
      </w:pPr>
      <w:bookmarkStart w:id="7" w:name="_Toc447101505"/>
      <w:bookmarkStart w:id="8" w:name="_Toc445283013"/>
      <w:bookmarkStart w:id="9" w:name="_Toc496872225"/>
      <w:r w:rsidRPr="000D3600">
        <w:t>Out of Scope</w:t>
      </w:r>
      <w:bookmarkEnd w:id="7"/>
      <w:bookmarkEnd w:id="8"/>
      <w:bookmarkEnd w:id="9"/>
    </w:p>
    <w:p w:rsidR="008021DF" w:rsidRDefault="00D06548" w:rsidP="00356F18">
      <w:pPr>
        <w:pStyle w:val="NumberedPara"/>
        <w:numPr>
          <w:ilvl w:val="0"/>
          <w:numId w:val="32"/>
        </w:numPr>
      </w:pPr>
      <w:r w:rsidRPr="00C71804">
        <w:t>Free or low cost widely available internet conferencing services such as Skype</w:t>
      </w:r>
      <w:r>
        <w:t xml:space="preserve"> (free version not Skype for Business), Google Hangouts</w:t>
      </w:r>
      <w:r w:rsidRPr="00C71804">
        <w:t xml:space="preserve"> or Yahoo</w:t>
      </w:r>
      <w:r>
        <w:t xml:space="preserve"> Messenger</w:t>
      </w:r>
      <w:r w:rsidRPr="00C71804">
        <w:t xml:space="preserve"> must not be used in the NTG.</w:t>
      </w:r>
    </w:p>
    <w:p w:rsidR="00D06548" w:rsidRDefault="00D06548" w:rsidP="00356F18">
      <w:pPr>
        <w:pStyle w:val="NumberedPara"/>
        <w:numPr>
          <w:ilvl w:val="0"/>
          <w:numId w:val="32"/>
        </w:numPr>
      </w:pPr>
      <w:r>
        <w:t>Exception: Department of Education’s classroom based activities to engage with other schools nationally and internationally.</w:t>
      </w:r>
    </w:p>
    <w:p w:rsidR="00D06548" w:rsidRPr="008021DF" w:rsidRDefault="00D06548" w:rsidP="00356F18">
      <w:pPr>
        <w:pStyle w:val="NumberedPara"/>
        <w:numPr>
          <w:ilvl w:val="0"/>
          <w:numId w:val="32"/>
        </w:numPr>
      </w:pPr>
      <w:r>
        <w:t xml:space="preserve">Synchronous Communication platforms (e.g. </w:t>
      </w:r>
      <w:r w:rsidR="00FA4145">
        <w:t>Skype for Business</w:t>
      </w:r>
      <w:r>
        <w:t xml:space="preserve"> and Cisco WebEx) are </w:t>
      </w:r>
      <w:r w:rsidR="001E08F6">
        <w:t>out of scope</w:t>
      </w:r>
      <w:r>
        <w:t>.</w:t>
      </w:r>
    </w:p>
    <w:p w:rsidR="00D50356" w:rsidRDefault="00132F92" w:rsidP="002B5FF8">
      <w:pPr>
        <w:pStyle w:val="Heading1"/>
      </w:pPr>
      <w:bookmarkStart w:id="10" w:name="_Toc496872226"/>
      <w:r>
        <w:t>Responsibilities</w:t>
      </w:r>
      <w:bookmarkEnd w:id="10"/>
    </w:p>
    <w:p w:rsidR="0055699A" w:rsidRDefault="00D06548" w:rsidP="00356F18">
      <w:pPr>
        <w:pStyle w:val="NumberedPara"/>
        <w:numPr>
          <w:ilvl w:val="0"/>
          <w:numId w:val="14"/>
        </w:numPr>
      </w:pPr>
      <w:r>
        <w:t xml:space="preserve">Agency Chief Executives are responsible for ensuring this Policy is applied within their </w:t>
      </w:r>
      <w:r w:rsidR="00FA4145">
        <w:t>A</w:t>
      </w:r>
      <w:r>
        <w:t>gency.</w:t>
      </w:r>
    </w:p>
    <w:p w:rsidR="00D06548" w:rsidRDefault="00D06548" w:rsidP="00356F18">
      <w:pPr>
        <w:pStyle w:val="NumberedPara"/>
        <w:numPr>
          <w:ilvl w:val="0"/>
          <w:numId w:val="14"/>
        </w:numPr>
      </w:pPr>
      <w:r>
        <w:t xml:space="preserve">Agency staff and service providers are responsible for adhering to this policy and </w:t>
      </w:r>
      <w:r w:rsidRPr="00D06548">
        <w:t xml:space="preserve">engage the </w:t>
      </w:r>
      <w:r>
        <w:t xml:space="preserve">NTG </w:t>
      </w:r>
      <w:r w:rsidRPr="00D06548">
        <w:t>V</w:t>
      </w:r>
      <w:r w:rsidR="008E4A3C">
        <w:t xml:space="preserve">ideo </w:t>
      </w:r>
      <w:r w:rsidRPr="00D06548">
        <w:t>C</w:t>
      </w:r>
      <w:r w:rsidR="008E4A3C">
        <w:t>onferencing</w:t>
      </w:r>
      <w:r w:rsidRPr="00D06548">
        <w:t xml:space="preserve"> Manager at the earliest opportunity when considering procuring a video conferencing device</w:t>
      </w:r>
      <w:r w:rsidR="00FA4145">
        <w:t>.</w:t>
      </w:r>
      <w:r>
        <w:t xml:space="preserve"> </w:t>
      </w:r>
    </w:p>
    <w:p w:rsidR="00D06548" w:rsidRPr="0055699A" w:rsidRDefault="00D06548" w:rsidP="00356F18">
      <w:pPr>
        <w:pStyle w:val="NumberedPara"/>
        <w:numPr>
          <w:ilvl w:val="0"/>
          <w:numId w:val="14"/>
        </w:numPr>
      </w:pPr>
      <w:r>
        <w:t xml:space="preserve">An </w:t>
      </w:r>
      <w:r w:rsidR="00FA4145">
        <w:t>A</w:t>
      </w:r>
      <w:r>
        <w:t xml:space="preserve">gency may impose further requirements, consistent with this Policy, specific to video conferencing within the </w:t>
      </w:r>
      <w:r w:rsidR="00FA4145">
        <w:t>A</w:t>
      </w:r>
      <w:r>
        <w:t>gency.</w:t>
      </w:r>
    </w:p>
    <w:p w:rsidR="00962142" w:rsidRDefault="00962142">
      <w:pPr>
        <w:spacing w:after="0"/>
        <w:rPr>
          <w:rFonts w:eastAsiaTheme="majorEastAsia" w:cstheme="majorBidi"/>
          <w:b/>
          <w:bCs/>
          <w:kern w:val="32"/>
          <w:sz w:val="36"/>
          <w:szCs w:val="36"/>
        </w:rPr>
      </w:pPr>
      <w:bookmarkStart w:id="11" w:name="_Toc452040366"/>
      <w:bookmarkStart w:id="12" w:name="_Toc452043771"/>
      <w:bookmarkStart w:id="13" w:name="_Toc452111675"/>
      <w:bookmarkEnd w:id="11"/>
      <w:bookmarkEnd w:id="12"/>
      <w:bookmarkEnd w:id="13"/>
      <w:r>
        <w:br w:type="page"/>
      </w:r>
    </w:p>
    <w:p w:rsidR="00132F92" w:rsidRDefault="00132F92" w:rsidP="002B5FF8">
      <w:pPr>
        <w:pStyle w:val="Heading1"/>
      </w:pPr>
      <w:bookmarkStart w:id="14" w:name="_Toc496872227"/>
      <w:r w:rsidRPr="002B5FF8">
        <w:lastRenderedPageBreak/>
        <w:t>Policy Statements</w:t>
      </w:r>
      <w:bookmarkEnd w:id="14"/>
    </w:p>
    <w:p w:rsidR="00A97C7A" w:rsidRDefault="00A97C7A" w:rsidP="00A97C7A">
      <w:pPr>
        <w:pStyle w:val="RuleStatement"/>
      </w:pPr>
      <w:r w:rsidRPr="00D06548">
        <w:t xml:space="preserve">NTG </w:t>
      </w:r>
      <w:r>
        <w:t>A</w:t>
      </w:r>
      <w:r w:rsidRPr="00D06548">
        <w:t>gencies must ensure that any video conferencing device used within the NTG is capable of supporting and operating with industry standard protocols and deployed in a secure manner.</w:t>
      </w:r>
    </w:p>
    <w:p w:rsidR="00A97C7A" w:rsidRPr="00A97C7A" w:rsidRDefault="00A97C7A" w:rsidP="00A97C7A">
      <w:pPr>
        <w:pStyle w:val="NumberedPara"/>
        <w:numPr>
          <w:ilvl w:val="0"/>
          <w:numId w:val="41"/>
        </w:numPr>
      </w:pPr>
      <w:r>
        <w:t xml:space="preserve">This Policy statement is achieved by adhering to the below requirements. </w:t>
      </w:r>
    </w:p>
    <w:p w:rsidR="00E72867" w:rsidRDefault="00D06548" w:rsidP="00D06548">
      <w:pPr>
        <w:pStyle w:val="Heading2"/>
      </w:pPr>
      <w:bookmarkStart w:id="15" w:name="_Toc452040368"/>
      <w:bookmarkStart w:id="16" w:name="_Toc452043773"/>
      <w:bookmarkStart w:id="17" w:name="_Toc452111677"/>
      <w:bookmarkStart w:id="18" w:name="_Toc452040369"/>
      <w:bookmarkStart w:id="19" w:name="_Toc452043774"/>
      <w:bookmarkStart w:id="20" w:name="_Toc452111678"/>
      <w:bookmarkStart w:id="21" w:name="_Toc496872228"/>
      <w:bookmarkStart w:id="22" w:name="_Toc447101510"/>
      <w:bookmarkEnd w:id="15"/>
      <w:bookmarkEnd w:id="16"/>
      <w:bookmarkEnd w:id="17"/>
      <w:bookmarkEnd w:id="18"/>
      <w:bookmarkEnd w:id="19"/>
      <w:bookmarkEnd w:id="20"/>
      <w:r>
        <w:t>Before procuring new video conferencing device</w:t>
      </w:r>
      <w:r w:rsidR="00962142">
        <w:t>s</w:t>
      </w:r>
      <w:bookmarkEnd w:id="21"/>
    </w:p>
    <w:p w:rsidR="00D06548" w:rsidRDefault="00D06548" w:rsidP="00D06548">
      <w:pPr>
        <w:pStyle w:val="RuleStatement"/>
      </w:pPr>
      <w:r>
        <w:t xml:space="preserve">NTG </w:t>
      </w:r>
      <w:r w:rsidR="00962142">
        <w:t>A</w:t>
      </w:r>
      <w:r>
        <w:t>gencies must ensure that, before a new video conferencing device is procured</w:t>
      </w:r>
      <w:proofErr w:type="gramStart"/>
      <w:r>
        <w:t>:</w:t>
      </w:r>
      <w:proofErr w:type="gramEnd"/>
      <w:r>
        <w:br/>
        <w:t>•  the advice of the NTG V</w:t>
      </w:r>
      <w:r w:rsidR="008E4A3C">
        <w:t xml:space="preserve">ideo </w:t>
      </w:r>
      <w:r>
        <w:t>C</w:t>
      </w:r>
      <w:r w:rsidR="008E4A3C">
        <w:t>onferencing</w:t>
      </w:r>
      <w:r>
        <w:t xml:space="preserve"> Manager is sought at the earliest possible opportunity.</w:t>
      </w:r>
      <w:r>
        <w:br/>
      </w:r>
      <w:proofErr w:type="gramStart"/>
      <w:r>
        <w:t>•  the</w:t>
      </w:r>
      <w:proofErr w:type="gramEnd"/>
      <w:r>
        <w:t xml:space="preserve"> device is </w:t>
      </w:r>
      <w:r w:rsidRPr="009C315A">
        <w:t xml:space="preserve">capable of supporting and operating with either </w:t>
      </w:r>
      <w:r>
        <w:t xml:space="preserve">the </w:t>
      </w:r>
      <w:r w:rsidR="00356F18">
        <w:t>Session Initiation Protocol (</w:t>
      </w:r>
      <w:r>
        <w:t>SIP</w:t>
      </w:r>
      <w:r w:rsidR="00356F18">
        <w:t>)</w:t>
      </w:r>
      <w:r>
        <w:t xml:space="preserve"> or H.323</w:t>
      </w:r>
      <w:r w:rsidRPr="009C315A">
        <w:t xml:space="preserve"> industry standard protocols</w:t>
      </w:r>
      <w:r>
        <w:t>; SIP is preferred.</w:t>
      </w:r>
    </w:p>
    <w:p w:rsidR="00D06548" w:rsidRDefault="00D06548" w:rsidP="00356F18">
      <w:pPr>
        <w:pStyle w:val="NumberedPara"/>
        <w:numPr>
          <w:ilvl w:val="0"/>
          <w:numId w:val="38"/>
        </w:numPr>
      </w:pPr>
      <w:r>
        <w:t xml:space="preserve">If </w:t>
      </w:r>
      <w:r w:rsidR="00962142">
        <w:t>A</w:t>
      </w:r>
      <w:r>
        <w:t>gencies do not comply with these requirements, there is a possibility that the chosen video conferencing device will not interoperate with other NTG video conferencing facilities or be able to connect to the NTG ICT network.</w:t>
      </w:r>
    </w:p>
    <w:p w:rsidR="00D06548" w:rsidRPr="00D06548" w:rsidRDefault="00D06548" w:rsidP="00356F18">
      <w:pPr>
        <w:pStyle w:val="NumberedPara"/>
        <w:numPr>
          <w:ilvl w:val="0"/>
          <w:numId w:val="38"/>
        </w:numPr>
      </w:pPr>
      <w:r>
        <w:t xml:space="preserve">Note: All procurement requests relating to Department of Health must also be forwarded to </w:t>
      </w:r>
      <w:proofErr w:type="spellStart"/>
      <w:r>
        <w:t>TeleHealth</w:t>
      </w:r>
      <w:proofErr w:type="spellEnd"/>
      <w:r>
        <w:t xml:space="preserve"> NT (</w:t>
      </w:r>
      <w:hyperlink r:id="rId13" w:history="1">
        <w:r w:rsidRPr="00BA7466">
          <w:rPr>
            <w:rStyle w:val="Hyperlink"/>
          </w:rPr>
          <w:t>TeleHealthHelpdesk.THS@nt.gov.au</w:t>
        </w:r>
      </w:hyperlink>
      <w:r>
        <w:t>).</w:t>
      </w:r>
    </w:p>
    <w:p w:rsidR="00FB62B0" w:rsidRPr="002B5FF8" w:rsidRDefault="00D06548" w:rsidP="002B5FF8">
      <w:pPr>
        <w:pStyle w:val="Heading2"/>
      </w:pPr>
      <w:bookmarkStart w:id="23" w:name="_Toc496872229"/>
      <w:r>
        <w:t>Complying with requirements specified on NTG Central</w:t>
      </w:r>
      <w:bookmarkEnd w:id="23"/>
    </w:p>
    <w:bookmarkEnd w:id="22"/>
    <w:p w:rsidR="00FB62B0" w:rsidRDefault="00D06548" w:rsidP="007E20B5">
      <w:pPr>
        <w:pStyle w:val="RuleStatement"/>
      </w:pPr>
      <w:r>
        <w:t xml:space="preserve">Once a new video conferencing device is procured, NTG </w:t>
      </w:r>
      <w:r w:rsidR="00962142">
        <w:t>A</w:t>
      </w:r>
      <w:r>
        <w:t>gencies must ensure that they configure the device, register the device with the NTG Video</w:t>
      </w:r>
      <w:r w:rsidR="001E08F6">
        <w:t xml:space="preserve"> Conferencing Management System</w:t>
      </w:r>
      <w:r>
        <w:t>, and use the device only in accordance with the video conferencing user rules.</w:t>
      </w:r>
    </w:p>
    <w:p w:rsidR="008021DF" w:rsidRDefault="00356F18" w:rsidP="00356F18">
      <w:pPr>
        <w:pStyle w:val="NumberedPara"/>
        <w:numPr>
          <w:ilvl w:val="0"/>
          <w:numId w:val="15"/>
        </w:numPr>
      </w:pPr>
      <w:r>
        <w:t>These requirements are detailed in the Video Conferencing User Guide on NTG Centra</w:t>
      </w:r>
      <w:r w:rsidR="00477F79">
        <w:t>l</w:t>
      </w:r>
      <w:r w:rsidR="00BA5544">
        <w:t xml:space="preserve"> (</w:t>
      </w:r>
      <w:r w:rsidR="00477F79">
        <w:t>internal to NTG only)</w:t>
      </w:r>
      <w:r>
        <w:t>.</w:t>
      </w:r>
    </w:p>
    <w:p w:rsidR="001E08F6" w:rsidRDefault="001E08F6" w:rsidP="00356F18">
      <w:pPr>
        <w:pStyle w:val="NumberedPara"/>
        <w:numPr>
          <w:ilvl w:val="0"/>
          <w:numId w:val="15"/>
        </w:numPr>
      </w:pPr>
      <w:r>
        <w:t>Agencies register the device with the NTG Video Conferencing Management System by logging a ticket through the HPSM system. The service provider then add</w:t>
      </w:r>
      <w:r w:rsidR="00962142">
        <w:t>s</w:t>
      </w:r>
      <w:r>
        <w:t xml:space="preserve"> the device to the system. </w:t>
      </w:r>
    </w:p>
    <w:p w:rsidR="008021DF" w:rsidRDefault="00356F18" w:rsidP="00356F18">
      <w:pPr>
        <w:pStyle w:val="Heading2"/>
      </w:pPr>
      <w:bookmarkStart w:id="24" w:name="_Toc496872230"/>
      <w:r>
        <w:t>Direct connections</w:t>
      </w:r>
      <w:bookmarkEnd w:id="24"/>
    </w:p>
    <w:p w:rsidR="007152DD" w:rsidRDefault="007152DD" w:rsidP="007152DD">
      <w:pPr>
        <w:pStyle w:val="NumberedPara"/>
        <w:numPr>
          <w:ilvl w:val="0"/>
          <w:numId w:val="42"/>
        </w:numPr>
      </w:pPr>
      <w:r w:rsidRPr="007152DD">
        <w:rPr>
          <w:rFonts w:cs="Arial"/>
          <w:color w:val="000000"/>
          <w:szCs w:val="20"/>
        </w:rPr>
        <w:t xml:space="preserve">Most video calls are on demand and internal to NTG or use the internet or ISDN to connect to </w:t>
      </w:r>
      <w:r w:rsidRPr="001D20DA">
        <w:t>non-NTG organisation</w:t>
      </w:r>
      <w:r w:rsidRPr="007152DD">
        <w:rPr>
          <w:rFonts w:cs="Arial"/>
          <w:color w:val="000000"/>
          <w:szCs w:val="20"/>
        </w:rPr>
        <w:t>.</w:t>
      </w:r>
      <w:r w:rsidRPr="007152DD">
        <w:rPr>
          <w:rFonts w:ascii="Segoe UI" w:hAnsi="Segoe UI" w:cs="Segoe UI"/>
          <w:color w:val="000000"/>
          <w:szCs w:val="20"/>
        </w:rPr>
        <w:t xml:space="preserve"> </w:t>
      </w:r>
      <w:r w:rsidRPr="001D20DA">
        <w:t xml:space="preserve">NTG </w:t>
      </w:r>
      <w:r>
        <w:t>A</w:t>
      </w:r>
      <w:r w:rsidRPr="001D20DA">
        <w:t>gencies may</w:t>
      </w:r>
      <w:r>
        <w:t>,</w:t>
      </w:r>
      <w:r w:rsidRPr="001D20DA">
        <w:t xml:space="preserve"> in limited circumstances</w:t>
      </w:r>
      <w:r>
        <w:t>,</w:t>
      </w:r>
      <w:r w:rsidRPr="001D20DA">
        <w:t xml:space="preserve"> wish to establish an ongoing, direct video conferencing relationship with a non-NTG organisation.</w:t>
      </w:r>
      <w:r>
        <w:t xml:space="preserve"> This relationship is called direct connections. </w:t>
      </w:r>
    </w:p>
    <w:p w:rsidR="007152DD" w:rsidRPr="007152DD" w:rsidRDefault="007152DD" w:rsidP="007152DD">
      <w:pPr>
        <w:pStyle w:val="NumberedPara"/>
        <w:numPr>
          <w:ilvl w:val="0"/>
          <w:numId w:val="42"/>
        </w:numPr>
      </w:pPr>
      <w:r w:rsidRPr="001D20DA">
        <w:t xml:space="preserve">The direct connection would enable the external organisation to initiate video/audio conferencing with the </w:t>
      </w:r>
      <w:r w:rsidRPr="007152DD">
        <w:rPr>
          <w:rFonts w:cs="Arial"/>
        </w:rPr>
        <w:t xml:space="preserve">Agency </w:t>
      </w:r>
      <w:r w:rsidRPr="007152DD">
        <w:rPr>
          <w:rFonts w:cs="Arial"/>
          <w:color w:val="000000"/>
        </w:rPr>
        <w:t>with the purpose of directing traffic to a certain path, such as a dedicated link, or to enable more convenient dialling</w:t>
      </w:r>
      <w:r w:rsidRPr="007152DD">
        <w:rPr>
          <w:rFonts w:cs="Arial"/>
        </w:rPr>
        <w:t>.</w:t>
      </w:r>
    </w:p>
    <w:p w:rsidR="008021DF" w:rsidRDefault="00356F18" w:rsidP="008021DF">
      <w:pPr>
        <w:pStyle w:val="RuleStatement"/>
      </w:pPr>
      <w:r>
        <w:lastRenderedPageBreak/>
        <w:t>NTG Agencies are only permitted to obtain a direct connection:</w:t>
      </w:r>
      <w:r>
        <w:br/>
        <w:t>•  when there is a demonstrable, legitimate business need for the direct connection</w:t>
      </w:r>
      <w:r>
        <w:br/>
        <w:t>•  t</w:t>
      </w:r>
      <w:r w:rsidR="00EB7942">
        <w:t>he advice of the NTG V</w:t>
      </w:r>
      <w:r w:rsidR="008E4A3C">
        <w:t xml:space="preserve">ideo </w:t>
      </w:r>
      <w:r w:rsidR="00EB7942">
        <w:t>C</w:t>
      </w:r>
      <w:r w:rsidR="008E4A3C">
        <w:t>onferencing</w:t>
      </w:r>
      <w:r w:rsidR="00EB7942">
        <w:t xml:space="preserve"> Manager</w:t>
      </w:r>
      <w:r>
        <w:t xml:space="preserve"> has been sought and followed by the </w:t>
      </w:r>
      <w:r w:rsidR="00EB7942">
        <w:t>A</w:t>
      </w:r>
      <w:r w:rsidR="00332E77">
        <w:t>gency</w:t>
      </w:r>
      <w:r w:rsidR="00332E77">
        <w:br/>
        <w:t xml:space="preserve">•  </w:t>
      </w:r>
      <w:r>
        <w:t>the r</w:t>
      </w:r>
      <w:r w:rsidRPr="001D20DA">
        <w:t>equirements of the ICT WAN and Third Party Access Standard</w:t>
      </w:r>
      <w:r>
        <w:t xml:space="preserve"> are met</w:t>
      </w:r>
      <w:r>
        <w:br/>
        <w:t xml:space="preserve">•  the arrangement is documented in a written agreement, which </w:t>
      </w:r>
      <w:r w:rsidRPr="001D20DA">
        <w:t xml:space="preserve">must prohibit the </w:t>
      </w:r>
      <w:r w:rsidR="007152DD">
        <w:t>non-NTG organisation</w:t>
      </w:r>
      <w:r>
        <w:t xml:space="preserve"> and its</w:t>
      </w:r>
      <w:r w:rsidRPr="001D20DA">
        <w:t xml:space="preserve"> staff from behaving </w:t>
      </w:r>
      <w:r>
        <w:t>inappropriately</w:t>
      </w:r>
      <w:r w:rsidRPr="001D20DA">
        <w:t xml:space="preserve"> while using the video conferencing</w:t>
      </w:r>
      <w:r>
        <w:t xml:space="preserve"> system</w:t>
      </w:r>
      <w:r w:rsidRPr="001D20DA">
        <w:t xml:space="preserve"> (including that they will not misuse NTG information) and </w:t>
      </w:r>
      <w:r>
        <w:t xml:space="preserve">require the </w:t>
      </w:r>
      <w:r w:rsidR="007152DD">
        <w:t>non-NTG organisation</w:t>
      </w:r>
      <w:r>
        <w:t xml:space="preserve"> to </w:t>
      </w:r>
      <w:r w:rsidRPr="001D20DA">
        <w:t>implement appropriate security requirements as specified in the ICT WAN and Third Party Access Standard</w:t>
      </w:r>
      <w:r>
        <w:t>.</w:t>
      </w:r>
    </w:p>
    <w:p w:rsidR="008021DF" w:rsidRDefault="007152DD" w:rsidP="007152DD">
      <w:pPr>
        <w:pStyle w:val="NumberedPara"/>
        <w:numPr>
          <w:ilvl w:val="0"/>
          <w:numId w:val="42"/>
        </w:numPr>
      </w:pPr>
      <w:r>
        <w:t xml:space="preserve">Permission to obtain a direct connection with a non-NTG organisation will not be granted unless all requirements are met. </w:t>
      </w:r>
    </w:p>
    <w:p w:rsidR="00356F18" w:rsidRDefault="00356F18" w:rsidP="00B0542E">
      <w:pPr>
        <w:pStyle w:val="Heading1"/>
      </w:pPr>
      <w:bookmarkStart w:id="25" w:name="_Toc452040415"/>
      <w:bookmarkStart w:id="26" w:name="_Toc452043779"/>
      <w:bookmarkStart w:id="27" w:name="_Toc452111696"/>
      <w:bookmarkStart w:id="28" w:name="_Toc452040416"/>
      <w:bookmarkStart w:id="29" w:name="_Toc452043780"/>
      <w:bookmarkStart w:id="30" w:name="_Toc452111697"/>
      <w:bookmarkStart w:id="31" w:name="_Toc496872231"/>
      <w:bookmarkStart w:id="32" w:name="_Toc451949042"/>
      <w:bookmarkEnd w:id="25"/>
      <w:bookmarkEnd w:id="26"/>
      <w:bookmarkEnd w:id="27"/>
      <w:bookmarkEnd w:id="28"/>
      <w:bookmarkEnd w:id="29"/>
      <w:bookmarkEnd w:id="30"/>
      <w:r>
        <w:t>Contact details</w:t>
      </w:r>
      <w:bookmarkEnd w:id="31"/>
    </w:p>
    <w:p w:rsidR="00356F18" w:rsidRDefault="00356F18" w:rsidP="00356F18">
      <w:pPr>
        <w:pStyle w:val="NumberedPara"/>
        <w:numPr>
          <w:ilvl w:val="0"/>
          <w:numId w:val="39"/>
        </w:numPr>
      </w:pPr>
      <w:r>
        <w:t xml:space="preserve">NTG Video Conferencing Manager: </w:t>
      </w:r>
      <w:hyperlink r:id="rId14" w:history="1">
        <w:r w:rsidRPr="00786861">
          <w:rPr>
            <w:color w:val="0000FF"/>
            <w:u w:val="single"/>
            <w:lang w:val="en"/>
          </w:rPr>
          <w:t>NTGVC.Management@nt.gov.au</w:t>
        </w:r>
      </w:hyperlink>
      <w:r>
        <w:t xml:space="preserve"> / 8924 3730</w:t>
      </w:r>
    </w:p>
    <w:p w:rsidR="00356F18" w:rsidRPr="00356F18" w:rsidRDefault="00356F18" w:rsidP="00356F18">
      <w:pPr>
        <w:pStyle w:val="NumberedPara"/>
        <w:numPr>
          <w:ilvl w:val="0"/>
          <w:numId w:val="39"/>
        </w:numPr>
      </w:pPr>
      <w:r>
        <w:t xml:space="preserve">Digital Policy </w:t>
      </w:r>
      <w:r w:rsidR="00EB7942">
        <w:t xml:space="preserve">and Telecommunications </w:t>
      </w:r>
      <w:r>
        <w:t xml:space="preserve">Unit: </w:t>
      </w:r>
      <w:hyperlink r:id="rId15" w:history="1">
        <w:r w:rsidRPr="00A80F56">
          <w:rPr>
            <w:rStyle w:val="Hyperlink"/>
          </w:rPr>
          <w:t>Digital.Policy@nt.gov.au</w:t>
        </w:r>
      </w:hyperlink>
      <w:r>
        <w:t xml:space="preserve"> / 8924 3853</w:t>
      </w:r>
    </w:p>
    <w:p w:rsidR="00B0542E" w:rsidRDefault="00B0542E" w:rsidP="00B0542E">
      <w:pPr>
        <w:pStyle w:val="Heading1"/>
      </w:pPr>
      <w:bookmarkStart w:id="33" w:name="_Toc496872232"/>
      <w:r>
        <w:t>Definitions</w:t>
      </w:r>
      <w:bookmarkEnd w:id="32"/>
      <w:bookmarkEnd w:id="33"/>
    </w:p>
    <w:p w:rsidR="00D06548" w:rsidRDefault="00D06548" w:rsidP="00D06548">
      <w:r>
        <w:rPr>
          <w:b/>
        </w:rPr>
        <w:t>V</w:t>
      </w:r>
      <w:r w:rsidRPr="001D20DA">
        <w:rPr>
          <w:b/>
        </w:rPr>
        <w:t>ideo conferencing device</w:t>
      </w:r>
      <w:r>
        <w:t xml:space="preserve"> means </w:t>
      </w:r>
      <w:r w:rsidRPr="00C71804">
        <w:t>a video conferencing device and/or related equipment or software used to deliver video communications, collaborations or meetings, whether set up in a conference room or as desktop facility.</w:t>
      </w:r>
    </w:p>
    <w:p w:rsidR="00D06548" w:rsidRPr="001D20DA" w:rsidRDefault="00D06548" w:rsidP="00D06548">
      <w:pPr>
        <w:rPr>
          <w:b/>
        </w:rPr>
      </w:pPr>
      <w:r>
        <w:rPr>
          <w:b/>
        </w:rPr>
        <w:t xml:space="preserve">H.323 </w:t>
      </w:r>
      <w:r w:rsidRPr="001D20DA">
        <w:t xml:space="preserve">is a recommendation from the ITU Telecommunication Standardization Sector that defines the protocols to provide audio-visual communication </w:t>
      </w:r>
      <w:r>
        <w:t>over a computer network</w:t>
      </w:r>
      <w:r w:rsidRPr="001D20DA">
        <w:t>. The H.323 standard addresses call signalling and control, multimedia transport and control, and bandwidth control for point-to-point and multi-point conferences</w:t>
      </w:r>
      <w:r>
        <w:t>.</w:t>
      </w:r>
    </w:p>
    <w:p w:rsidR="00B0542E" w:rsidRPr="00E72867" w:rsidRDefault="00D06548" w:rsidP="00D06548">
      <w:r>
        <w:rPr>
          <w:b/>
        </w:rPr>
        <w:t xml:space="preserve">Session Initiation Protocol (SIP) </w:t>
      </w:r>
      <w:r>
        <w:t xml:space="preserve">is a </w:t>
      </w:r>
      <w:r w:rsidRPr="001D20DA">
        <w:t xml:space="preserve">communications protocol for signalling and controlling multimedia communication sessions. </w:t>
      </w:r>
      <w:r>
        <w:t xml:space="preserve">It is used to create, manage and terminate sessions in an internet protocol based network. </w:t>
      </w:r>
      <w:r w:rsidRPr="001D20DA">
        <w:t>The most common applications of SIP are in Internet telephony for voice and video calls, as well as instant messaging, over Internet Protocol networks</w:t>
      </w:r>
      <w:r>
        <w:t>.</w:t>
      </w:r>
    </w:p>
    <w:p w:rsidR="00137AA9" w:rsidRDefault="00137AA9" w:rsidP="002B5FF8">
      <w:pPr>
        <w:pStyle w:val="Heading1"/>
      </w:pPr>
      <w:bookmarkStart w:id="34" w:name="_Toc452040421"/>
      <w:bookmarkStart w:id="35" w:name="_Toc452043785"/>
      <w:bookmarkStart w:id="36" w:name="_Toc452111702"/>
      <w:bookmarkStart w:id="37" w:name="_Toc447101518"/>
      <w:bookmarkStart w:id="38" w:name="_Toc496872233"/>
      <w:bookmarkEnd w:id="34"/>
      <w:bookmarkEnd w:id="35"/>
      <w:bookmarkEnd w:id="36"/>
      <w:r>
        <w:t>Glossary of Acronyms</w:t>
      </w:r>
      <w:bookmarkEnd w:id="37"/>
      <w:bookmarkEnd w:id="38"/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620" w:firstRow="1" w:lastRow="0" w:firstColumn="0" w:lastColumn="0" w:noHBand="1" w:noVBand="1"/>
        <w:tblDescription w:val="Glossary of acronyms"/>
      </w:tblPr>
      <w:tblGrid>
        <w:gridCol w:w="2376"/>
        <w:gridCol w:w="6237"/>
      </w:tblGrid>
      <w:tr w:rsidR="00137AA9" w:rsidTr="004D43CD">
        <w:trPr>
          <w:cantSplit/>
          <w:tblHeader/>
        </w:trPr>
        <w:tc>
          <w:tcPr>
            <w:tcW w:w="2376" w:type="dxa"/>
            <w:tcBorders>
              <w:bottom w:val="single" w:sz="4" w:space="0" w:color="auto"/>
            </w:tcBorders>
            <w:vAlign w:val="center"/>
            <w:hideMark/>
          </w:tcPr>
          <w:p w:rsidR="00137AA9" w:rsidRPr="002369CD" w:rsidRDefault="00137AA9" w:rsidP="004D43CD">
            <w:pPr>
              <w:pStyle w:val="NTGTableText"/>
              <w:spacing w:after="0"/>
              <w:ind w:left="34"/>
            </w:pPr>
            <w:bookmarkStart w:id="39" w:name="Title"/>
            <w:r w:rsidRPr="002369CD">
              <w:t>Acronym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  <w:hideMark/>
          </w:tcPr>
          <w:p w:rsidR="00137AA9" w:rsidRPr="002369CD" w:rsidRDefault="00137AA9" w:rsidP="004D43CD">
            <w:pPr>
              <w:pStyle w:val="NTGTableText"/>
              <w:spacing w:after="0"/>
              <w:ind w:left="34"/>
            </w:pPr>
            <w:r w:rsidRPr="002369CD">
              <w:t>Full form</w:t>
            </w:r>
            <w:bookmarkStart w:id="40" w:name="_GoBack"/>
            <w:bookmarkEnd w:id="40"/>
          </w:p>
        </w:tc>
      </w:tr>
      <w:bookmarkEnd w:id="39"/>
      <w:tr w:rsidR="00356F18" w:rsidTr="004D43CD">
        <w:trPr>
          <w:cantSplit/>
        </w:trPr>
        <w:tc>
          <w:tcPr>
            <w:tcW w:w="2376" w:type="dxa"/>
            <w:tcBorders>
              <w:top w:val="single" w:sz="4" w:space="0" w:color="auto"/>
            </w:tcBorders>
          </w:tcPr>
          <w:p w:rsidR="00356F18" w:rsidRPr="002E3B83" w:rsidRDefault="00356F18" w:rsidP="004D43CD">
            <w:pPr>
              <w:pStyle w:val="NTGTableText"/>
              <w:spacing w:after="0"/>
              <w:ind w:left="34"/>
            </w:pPr>
            <w:r>
              <w:t>ICT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356F18" w:rsidRPr="002E3B83" w:rsidRDefault="00356F18" w:rsidP="004D43CD">
            <w:pPr>
              <w:pStyle w:val="NTGTableText"/>
              <w:spacing w:after="0"/>
              <w:ind w:left="34"/>
            </w:pPr>
            <w:r>
              <w:t>Information and Communications Technology</w:t>
            </w:r>
          </w:p>
        </w:tc>
      </w:tr>
      <w:tr w:rsidR="00356F18" w:rsidTr="004D43CD">
        <w:trPr>
          <w:cantSplit/>
        </w:trPr>
        <w:tc>
          <w:tcPr>
            <w:tcW w:w="2376" w:type="dxa"/>
          </w:tcPr>
          <w:p w:rsidR="00356F18" w:rsidRPr="002E3B83" w:rsidRDefault="00356F18" w:rsidP="004D43CD">
            <w:pPr>
              <w:pStyle w:val="NTGTableText"/>
              <w:spacing w:after="0"/>
              <w:ind w:left="34"/>
            </w:pPr>
            <w:r>
              <w:t>NTG</w:t>
            </w:r>
          </w:p>
        </w:tc>
        <w:tc>
          <w:tcPr>
            <w:tcW w:w="6237" w:type="dxa"/>
          </w:tcPr>
          <w:p w:rsidR="00356F18" w:rsidRPr="002E3B83" w:rsidRDefault="00356F18" w:rsidP="004D43CD">
            <w:pPr>
              <w:pStyle w:val="NTGTableText"/>
              <w:spacing w:after="0"/>
              <w:ind w:left="34"/>
            </w:pPr>
            <w:r>
              <w:t>Northern Territory Government</w:t>
            </w:r>
          </w:p>
        </w:tc>
      </w:tr>
      <w:tr w:rsidR="00356F18" w:rsidTr="004D43CD">
        <w:trPr>
          <w:cantSplit/>
        </w:trPr>
        <w:tc>
          <w:tcPr>
            <w:tcW w:w="2376" w:type="dxa"/>
          </w:tcPr>
          <w:p w:rsidR="00356F18" w:rsidRPr="002E3B83" w:rsidRDefault="00356F18" w:rsidP="004D43CD">
            <w:pPr>
              <w:pStyle w:val="NTGTableText"/>
              <w:spacing w:after="0"/>
              <w:ind w:left="34"/>
            </w:pPr>
            <w:r>
              <w:t>SIP</w:t>
            </w:r>
          </w:p>
        </w:tc>
        <w:tc>
          <w:tcPr>
            <w:tcW w:w="6237" w:type="dxa"/>
          </w:tcPr>
          <w:p w:rsidR="00356F18" w:rsidRPr="002E3B83" w:rsidRDefault="00356F18" w:rsidP="004D43CD">
            <w:pPr>
              <w:pStyle w:val="NTGTableText"/>
              <w:spacing w:after="0"/>
              <w:ind w:left="34"/>
            </w:pPr>
            <w:r>
              <w:t>Session Initiation Protocol</w:t>
            </w:r>
          </w:p>
        </w:tc>
      </w:tr>
    </w:tbl>
    <w:p w:rsidR="00EB7942" w:rsidRPr="004D43CD" w:rsidRDefault="00EB7942" w:rsidP="009777BA">
      <w:pPr>
        <w:pStyle w:val="ListParagraph"/>
        <w:numPr>
          <w:ilvl w:val="0"/>
          <w:numId w:val="40"/>
        </w:numPr>
        <w:spacing w:after="0"/>
        <w:contextualSpacing w:val="0"/>
        <w:rPr>
          <w:rStyle w:val="BlockTextChar"/>
        </w:rPr>
      </w:pPr>
      <w:r>
        <w:br w:type="page"/>
      </w:r>
    </w:p>
    <w:p w:rsidR="00832C0E" w:rsidRDefault="00832C0E" w:rsidP="00832C0E">
      <w:pPr>
        <w:pStyle w:val="Heading1"/>
      </w:pPr>
      <w:bookmarkStart w:id="41" w:name="_Toc496872234"/>
      <w:r>
        <w:lastRenderedPageBreak/>
        <w:t>Document control</w:t>
      </w:r>
      <w:bookmarkEnd w:id="41"/>
    </w:p>
    <w:p w:rsidR="00832C0E" w:rsidRDefault="00832C0E" w:rsidP="00832C0E">
      <w:pPr>
        <w:spacing w:after="0"/>
        <w:rPr>
          <w:rFonts w:eastAsiaTheme="minorEastAsia"/>
          <w:iCs/>
        </w:rPr>
      </w:pPr>
    </w:p>
    <w:tbl>
      <w:tblPr>
        <w:tblStyle w:val="TableGrid"/>
        <w:tblW w:w="0" w:type="auto"/>
        <w:tblInd w:w="108" w:type="dxa"/>
        <w:tblCellMar>
          <w:top w:w="57" w:type="dxa"/>
          <w:bottom w:w="57" w:type="dxa"/>
        </w:tblCellMar>
        <w:tblLook w:val="06A0" w:firstRow="1" w:lastRow="0" w:firstColumn="1" w:lastColumn="0" w:noHBand="1" w:noVBand="1"/>
        <w:tblDescription w:val="Document details showing document title, contact details, version, date issued, approved by, date approved and document review"/>
      </w:tblPr>
      <w:tblGrid>
        <w:gridCol w:w="2357"/>
        <w:gridCol w:w="7163"/>
      </w:tblGrid>
      <w:tr w:rsidR="00832C0E" w:rsidRPr="002E3B83" w:rsidTr="00477F79">
        <w:trPr>
          <w:cantSplit/>
          <w:tblHeader/>
        </w:trPr>
        <w:tc>
          <w:tcPr>
            <w:tcW w:w="9520" w:type="dxa"/>
            <w:gridSpan w:val="2"/>
            <w:shd w:val="clear" w:color="auto" w:fill="BFBFBF" w:themeFill="background1" w:themeFillShade="BF"/>
            <w:vAlign w:val="center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Document details</w:t>
            </w:r>
          </w:p>
        </w:tc>
      </w:tr>
      <w:tr w:rsidR="00832C0E" w:rsidRPr="002E3B83" w:rsidTr="00477F79">
        <w:trPr>
          <w:cantSplit/>
        </w:trPr>
        <w:tc>
          <w:tcPr>
            <w:tcW w:w="2357" w:type="dxa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>
              <w:rPr>
                <w:b/>
              </w:rPr>
              <w:t>Responsible Agency</w:t>
            </w:r>
          </w:p>
        </w:tc>
        <w:tc>
          <w:tcPr>
            <w:tcW w:w="7163" w:type="dxa"/>
          </w:tcPr>
          <w:p w:rsidR="00832C0E" w:rsidRPr="002E3B83" w:rsidRDefault="00356F18" w:rsidP="00F9586F">
            <w:pPr>
              <w:pStyle w:val="NoSpacing"/>
            </w:pPr>
            <w:r>
              <w:t>Department of Corporate and Information Services (DCIS)</w:t>
            </w:r>
          </w:p>
        </w:tc>
      </w:tr>
      <w:tr w:rsidR="00832C0E" w:rsidRPr="002E3B83" w:rsidTr="00477F79">
        <w:trPr>
          <w:cantSplit/>
        </w:trPr>
        <w:tc>
          <w:tcPr>
            <w:tcW w:w="2357" w:type="dxa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Contact details</w:t>
            </w:r>
          </w:p>
        </w:tc>
        <w:tc>
          <w:tcPr>
            <w:tcW w:w="7163" w:type="dxa"/>
          </w:tcPr>
          <w:p w:rsidR="00832C0E" w:rsidRPr="002E3B83" w:rsidRDefault="00356F18" w:rsidP="004D43CD">
            <w:pPr>
              <w:pStyle w:val="NoSpacing"/>
            </w:pPr>
            <w:r>
              <w:t>Digital Policy</w:t>
            </w:r>
            <w:r w:rsidR="00EB7942">
              <w:t xml:space="preserve"> </w:t>
            </w:r>
            <w:r>
              <w:t>Unit</w:t>
            </w:r>
            <w:r w:rsidR="00EB7942">
              <w:t>, Office of Digital Government:</w:t>
            </w:r>
            <w:r>
              <w:t xml:space="preserve"> (</w:t>
            </w:r>
            <w:hyperlink r:id="rId16" w:history="1">
              <w:r w:rsidRPr="005A3DFE">
                <w:rPr>
                  <w:rStyle w:val="Hyperlink"/>
                </w:rPr>
                <w:t>Digital.Policy@nt.gov.au</w:t>
              </w:r>
            </w:hyperlink>
            <w:r>
              <w:t>)</w:t>
            </w:r>
          </w:p>
        </w:tc>
      </w:tr>
      <w:tr w:rsidR="00832C0E" w:rsidRPr="002E3B83" w:rsidTr="00477F79">
        <w:trPr>
          <w:cantSplit/>
        </w:trPr>
        <w:tc>
          <w:tcPr>
            <w:tcW w:w="2357" w:type="dxa"/>
            <w:vAlign w:val="center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Date and version</w:t>
            </w:r>
          </w:p>
        </w:tc>
        <w:tc>
          <w:tcPr>
            <w:tcW w:w="7163" w:type="dxa"/>
            <w:vAlign w:val="center"/>
          </w:tcPr>
          <w:p w:rsidR="00832C0E" w:rsidRPr="002E3B83" w:rsidRDefault="004D43CD" w:rsidP="00EB7942">
            <w:pPr>
              <w:pStyle w:val="NoSpacing"/>
            </w:pPr>
            <w:r>
              <w:t>26 October</w:t>
            </w:r>
            <w:r w:rsidR="00356F18">
              <w:t xml:space="preserve"> 201</w:t>
            </w:r>
            <w:r w:rsidR="00EB7942">
              <w:t>7</w:t>
            </w:r>
            <w:r w:rsidR="00356F18">
              <w:t xml:space="preserve"> v2.0</w:t>
            </w:r>
          </w:p>
        </w:tc>
      </w:tr>
      <w:tr w:rsidR="00832C0E" w:rsidRPr="002E3B83" w:rsidTr="00477F79">
        <w:trPr>
          <w:cantSplit/>
        </w:trPr>
        <w:tc>
          <w:tcPr>
            <w:tcW w:w="2357" w:type="dxa"/>
            <w:vAlign w:val="center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Approved by</w:t>
            </w:r>
          </w:p>
        </w:tc>
        <w:tc>
          <w:tcPr>
            <w:tcW w:w="7163" w:type="dxa"/>
            <w:vAlign w:val="center"/>
          </w:tcPr>
          <w:p w:rsidR="00832C0E" w:rsidRPr="002E3B83" w:rsidRDefault="004D43CD" w:rsidP="00F9586F">
            <w:pPr>
              <w:pStyle w:val="NoSpacing"/>
            </w:pPr>
            <w:r>
              <w:t>Kathleen Robinson, Chief Executive, DCIS</w:t>
            </w:r>
          </w:p>
        </w:tc>
      </w:tr>
      <w:tr w:rsidR="00832C0E" w:rsidRPr="002E3B83" w:rsidTr="00477F79">
        <w:trPr>
          <w:cantSplit/>
        </w:trPr>
        <w:tc>
          <w:tcPr>
            <w:tcW w:w="2357" w:type="dxa"/>
            <w:vAlign w:val="center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Date approved</w:t>
            </w:r>
          </w:p>
        </w:tc>
        <w:tc>
          <w:tcPr>
            <w:tcW w:w="7163" w:type="dxa"/>
            <w:vAlign w:val="center"/>
          </w:tcPr>
          <w:p w:rsidR="00832C0E" w:rsidRPr="002E3B83" w:rsidRDefault="004D43CD" w:rsidP="00F9586F">
            <w:pPr>
              <w:pStyle w:val="NoSpacing"/>
            </w:pPr>
            <w:r>
              <w:t>26 October 2017</w:t>
            </w:r>
          </w:p>
        </w:tc>
      </w:tr>
    </w:tbl>
    <w:p w:rsidR="00832C0E" w:rsidRPr="002E3B83" w:rsidRDefault="00832C0E" w:rsidP="00832C0E"/>
    <w:tbl>
      <w:tblPr>
        <w:tblStyle w:val="TableGrid"/>
        <w:tblW w:w="0" w:type="auto"/>
        <w:tblInd w:w="108" w:type="dxa"/>
        <w:tblCellMar>
          <w:top w:w="57" w:type="dxa"/>
          <w:bottom w:w="57" w:type="dxa"/>
        </w:tblCellMar>
        <w:tblLook w:val="0620" w:firstRow="1" w:lastRow="0" w:firstColumn="0" w:lastColumn="0" w:noHBand="1" w:noVBand="1"/>
        <w:tblDescription w:val="Document change history showing version, date, author and change details"/>
      </w:tblPr>
      <w:tblGrid>
        <w:gridCol w:w="1088"/>
        <w:gridCol w:w="2089"/>
        <w:gridCol w:w="2444"/>
        <w:gridCol w:w="3899"/>
      </w:tblGrid>
      <w:tr w:rsidR="00832C0E" w:rsidRPr="002E3B83" w:rsidTr="00F9586F">
        <w:trPr>
          <w:cantSplit/>
          <w:tblHeader/>
        </w:trPr>
        <w:tc>
          <w:tcPr>
            <w:tcW w:w="9639" w:type="dxa"/>
            <w:gridSpan w:val="4"/>
            <w:shd w:val="clear" w:color="auto" w:fill="BFBFBF" w:themeFill="background1" w:themeFillShade="BF"/>
            <w:vAlign w:val="center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Change history</w:t>
            </w:r>
          </w:p>
        </w:tc>
      </w:tr>
      <w:tr w:rsidR="00832C0E" w:rsidRPr="002E3B83" w:rsidTr="00F9586F">
        <w:trPr>
          <w:cantSplit/>
        </w:trPr>
        <w:tc>
          <w:tcPr>
            <w:tcW w:w="1090" w:type="dxa"/>
            <w:vAlign w:val="center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Version</w:t>
            </w:r>
          </w:p>
        </w:tc>
        <w:tc>
          <w:tcPr>
            <w:tcW w:w="2112" w:type="dxa"/>
            <w:vAlign w:val="center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Date</w:t>
            </w:r>
          </w:p>
        </w:tc>
        <w:tc>
          <w:tcPr>
            <w:tcW w:w="2479" w:type="dxa"/>
            <w:vAlign w:val="center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Author</w:t>
            </w:r>
          </w:p>
        </w:tc>
        <w:tc>
          <w:tcPr>
            <w:tcW w:w="3958" w:type="dxa"/>
            <w:vAlign w:val="center"/>
          </w:tcPr>
          <w:p w:rsidR="00832C0E" w:rsidRPr="002E3B83" w:rsidRDefault="00832C0E" w:rsidP="00F9586F">
            <w:pPr>
              <w:pStyle w:val="NoSpacing"/>
              <w:rPr>
                <w:b/>
              </w:rPr>
            </w:pPr>
            <w:r w:rsidRPr="002E3B83">
              <w:rPr>
                <w:b/>
              </w:rPr>
              <w:t>Change details</w:t>
            </w:r>
          </w:p>
        </w:tc>
      </w:tr>
      <w:tr w:rsidR="00356F18" w:rsidRPr="002E3B83" w:rsidTr="00F9586F">
        <w:trPr>
          <w:cantSplit/>
        </w:trPr>
        <w:tc>
          <w:tcPr>
            <w:tcW w:w="1090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1.0</w:t>
            </w:r>
          </w:p>
        </w:tc>
        <w:tc>
          <w:tcPr>
            <w:tcW w:w="2112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July 2010</w:t>
            </w:r>
          </w:p>
        </w:tc>
        <w:tc>
          <w:tcPr>
            <w:tcW w:w="2479" w:type="dxa"/>
          </w:tcPr>
          <w:p w:rsidR="00356F18" w:rsidRPr="00B263D6" w:rsidRDefault="00356F18" w:rsidP="00CA4B17">
            <w:pPr>
              <w:pStyle w:val="NTGTableText"/>
            </w:pPr>
            <w:r>
              <w:t>DCIS</w:t>
            </w:r>
          </w:p>
        </w:tc>
        <w:tc>
          <w:tcPr>
            <w:tcW w:w="3958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New Standard Document</w:t>
            </w:r>
          </w:p>
        </w:tc>
      </w:tr>
      <w:tr w:rsidR="00356F18" w:rsidRPr="002E3B83" w:rsidTr="00F9586F">
        <w:trPr>
          <w:cantSplit/>
        </w:trPr>
        <w:tc>
          <w:tcPr>
            <w:tcW w:w="1090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1.1</w:t>
            </w:r>
          </w:p>
        </w:tc>
        <w:tc>
          <w:tcPr>
            <w:tcW w:w="2112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October 2011</w:t>
            </w:r>
          </w:p>
        </w:tc>
        <w:tc>
          <w:tcPr>
            <w:tcW w:w="2479" w:type="dxa"/>
          </w:tcPr>
          <w:p w:rsidR="00356F18" w:rsidRPr="00B263D6" w:rsidRDefault="00356F18" w:rsidP="00CA4B17">
            <w:pPr>
              <w:pStyle w:val="NTGTableText"/>
            </w:pPr>
            <w:r>
              <w:t>DCIS</w:t>
            </w:r>
          </w:p>
        </w:tc>
        <w:tc>
          <w:tcPr>
            <w:tcW w:w="3958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Change format</w:t>
            </w:r>
          </w:p>
        </w:tc>
      </w:tr>
      <w:tr w:rsidR="00356F18" w:rsidRPr="002E3B83" w:rsidTr="00F9586F">
        <w:trPr>
          <w:cantSplit/>
        </w:trPr>
        <w:tc>
          <w:tcPr>
            <w:tcW w:w="1090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1.2</w:t>
            </w:r>
          </w:p>
        </w:tc>
        <w:tc>
          <w:tcPr>
            <w:tcW w:w="2112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October 2011</w:t>
            </w:r>
          </w:p>
        </w:tc>
        <w:tc>
          <w:tcPr>
            <w:tcW w:w="2479" w:type="dxa"/>
          </w:tcPr>
          <w:p w:rsidR="00356F18" w:rsidRPr="00B263D6" w:rsidRDefault="00356F18" w:rsidP="00CA4B17">
            <w:pPr>
              <w:pStyle w:val="NTGTableText"/>
            </w:pPr>
            <w:r>
              <w:t>DCIS</w:t>
            </w:r>
          </w:p>
        </w:tc>
        <w:tc>
          <w:tcPr>
            <w:tcW w:w="3958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Endorsed by NTG CIO Forum</w:t>
            </w:r>
          </w:p>
        </w:tc>
      </w:tr>
      <w:tr w:rsidR="00356F18" w:rsidRPr="002E3B83" w:rsidTr="00F9586F">
        <w:trPr>
          <w:cantSplit/>
        </w:trPr>
        <w:tc>
          <w:tcPr>
            <w:tcW w:w="1090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1.3</w:t>
            </w:r>
          </w:p>
        </w:tc>
        <w:tc>
          <w:tcPr>
            <w:tcW w:w="2112" w:type="dxa"/>
          </w:tcPr>
          <w:p w:rsidR="00356F18" w:rsidRPr="00B263D6" w:rsidRDefault="00356F18" w:rsidP="00CA4B17">
            <w:pPr>
              <w:pStyle w:val="NTGTableText"/>
            </w:pPr>
            <w:r w:rsidRPr="00B263D6">
              <w:t>February 2013</w:t>
            </w:r>
          </w:p>
        </w:tc>
        <w:tc>
          <w:tcPr>
            <w:tcW w:w="2479" w:type="dxa"/>
          </w:tcPr>
          <w:p w:rsidR="00356F18" w:rsidRPr="00B263D6" w:rsidRDefault="00356F18" w:rsidP="00CA4B17">
            <w:pPr>
              <w:pStyle w:val="NTGTableText"/>
            </w:pPr>
            <w:r>
              <w:t>DCIS</w:t>
            </w:r>
          </w:p>
        </w:tc>
        <w:tc>
          <w:tcPr>
            <w:tcW w:w="3958" w:type="dxa"/>
          </w:tcPr>
          <w:p w:rsidR="00356F18" w:rsidRPr="00B263D6" w:rsidRDefault="00356F18" w:rsidP="00EB7942">
            <w:pPr>
              <w:pStyle w:val="NTGTableText"/>
            </w:pPr>
            <w:r w:rsidRPr="00B263D6">
              <w:t xml:space="preserve">Change </w:t>
            </w:r>
            <w:r w:rsidR="00EB7942">
              <w:t>A</w:t>
            </w:r>
            <w:r w:rsidRPr="00B263D6">
              <w:t>gency name</w:t>
            </w:r>
          </w:p>
        </w:tc>
      </w:tr>
      <w:tr w:rsidR="00356F18" w:rsidRPr="002E3B83" w:rsidTr="00F9586F">
        <w:trPr>
          <w:cantSplit/>
        </w:trPr>
        <w:tc>
          <w:tcPr>
            <w:tcW w:w="1090" w:type="dxa"/>
          </w:tcPr>
          <w:p w:rsidR="00356F18" w:rsidRPr="002E3B83" w:rsidRDefault="00582F79" w:rsidP="00CA4B17">
            <w:pPr>
              <w:pStyle w:val="NTGTableText"/>
            </w:pPr>
            <w:r>
              <w:fldChar w:fldCharType="begin"/>
            </w:r>
            <w:r>
              <w:instrText xml:space="preserve"> DOCPROPERTY  VersionNo  \* MERGEFORMAT </w:instrText>
            </w:r>
            <w:r>
              <w:fldChar w:fldCharType="separate"/>
            </w:r>
            <w:r w:rsidR="00356F18">
              <w:t>2.0</w:t>
            </w:r>
            <w:r>
              <w:fldChar w:fldCharType="end"/>
            </w:r>
          </w:p>
        </w:tc>
        <w:tc>
          <w:tcPr>
            <w:tcW w:w="2112" w:type="dxa"/>
          </w:tcPr>
          <w:p w:rsidR="00356F18" w:rsidRPr="002E3B83" w:rsidRDefault="004D43CD" w:rsidP="00CA4B17">
            <w:pPr>
              <w:pStyle w:val="NTGTableText"/>
            </w:pPr>
            <w:r>
              <w:t>October</w:t>
            </w:r>
            <w:r w:rsidR="00EB7942">
              <w:t xml:space="preserve"> 2017</w:t>
            </w:r>
          </w:p>
        </w:tc>
        <w:tc>
          <w:tcPr>
            <w:tcW w:w="2479" w:type="dxa"/>
          </w:tcPr>
          <w:p w:rsidR="00356F18" w:rsidRPr="002E3B83" w:rsidRDefault="00356F18" w:rsidP="00CA4B17">
            <w:pPr>
              <w:pStyle w:val="NTGTableText"/>
            </w:pPr>
            <w:r>
              <w:t>DCIS</w:t>
            </w:r>
          </w:p>
        </w:tc>
        <w:tc>
          <w:tcPr>
            <w:tcW w:w="3958" w:type="dxa"/>
          </w:tcPr>
          <w:p w:rsidR="00356F18" w:rsidRPr="002E3B83" w:rsidRDefault="00356F18" w:rsidP="00CA4B17">
            <w:pPr>
              <w:pStyle w:val="NTGTableText"/>
            </w:pPr>
            <w:r>
              <w:t>Major review and revert to Policy</w:t>
            </w:r>
            <w:r w:rsidR="00477F79">
              <w:br/>
              <w:t xml:space="preserve">(Internet version: excludes reference to internal documents) </w:t>
            </w:r>
          </w:p>
        </w:tc>
      </w:tr>
    </w:tbl>
    <w:p w:rsidR="00832C0E" w:rsidRDefault="00832C0E" w:rsidP="00832C0E">
      <w:pPr>
        <w:spacing w:after="0"/>
        <w:rPr>
          <w:rFonts w:eastAsiaTheme="minorEastAsia"/>
          <w:iCs/>
        </w:rPr>
      </w:pPr>
    </w:p>
    <w:p w:rsidR="00832C0E" w:rsidRPr="00832C0E" w:rsidRDefault="00832C0E" w:rsidP="00832C0E">
      <w:pPr>
        <w:pStyle w:val="BlockText"/>
      </w:pPr>
    </w:p>
    <w:sectPr w:rsidR="00832C0E" w:rsidRPr="00832C0E" w:rsidSect="00C756B9">
      <w:headerReference w:type="default" r:id="rId17"/>
      <w:footerReference w:type="default" r:id="rId18"/>
      <w:pgSz w:w="11906" w:h="16838" w:code="9"/>
      <w:pgMar w:top="113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F79" w:rsidRDefault="00582F79" w:rsidP="00293A72">
      <w:r>
        <w:separator/>
      </w:r>
    </w:p>
  </w:endnote>
  <w:endnote w:type="continuationSeparator" w:id="0">
    <w:p w:rsidR="00582F79" w:rsidRDefault="00582F79" w:rsidP="0029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76E" w:rsidRPr="009A7587" w:rsidRDefault="00582F79" w:rsidP="00C756B9">
    <w:pPr>
      <w:tabs>
        <w:tab w:val="right" w:pos="9638"/>
      </w:tabs>
      <w:spacing w:after="120"/>
      <w:rPr>
        <w:sz w:val="16"/>
        <w:szCs w:val="16"/>
      </w:rPr>
    </w:pPr>
    <w:r>
      <w:pict>
        <v:rect id="_x0000_i1025" style="width:481.9pt;height:.5pt;mso-position-vertical:absolute" o:hralign="center" o:hrstd="t" o:hrnoshade="t" o:hr="t" fillcolor="black [3213]" stroked="f"/>
      </w:pict>
    </w:r>
  </w:p>
  <w:p w:rsidR="00D4676E" w:rsidRDefault="00021C54" w:rsidP="00B8229A">
    <w:pPr>
      <w:tabs>
        <w:tab w:val="right" w:pos="9639"/>
      </w:tabs>
      <w:spacing w:after="0"/>
      <w:rPr>
        <w:rStyle w:val="NTGFooterDateVersionChar"/>
      </w:rPr>
    </w:pPr>
    <w:r>
      <w:rPr>
        <w:rStyle w:val="NTGFooterDepartmentofChar"/>
      </w:rPr>
      <w:t>NORTHERN TERRITORY GOVERNMENT</w:t>
    </w:r>
    <w:r w:rsidR="00D4676E">
      <w:tab/>
    </w:r>
    <w:r w:rsidR="00D4676E">
      <w:rPr>
        <w:rStyle w:val="NTGFooterDateVersionChar"/>
      </w:rPr>
      <w:fldChar w:fldCharType="begin"/>
    </w:r>
    <w:r w:rsidR="00D4676E">
      <w:rPr>
        <w:rStyle w:val="NTGFooterDateVersionChar"/>
      </w:rPr>
      <w:instrText xml:space="preserve"> DOCPROPERTY  DocumentDate  \* MERGEFORMAT </w:instrText>
    </w:r>
    <w:r w:rsidR="00D4676E">
      <w:rPr>
        <w:rStyle w:val="NTGFooterDateVersionChar"/>
      </w:rPr>
      <w:fldChar w:fldCharType="separate"/>
    </w:r>
    <w:r w:rsidR="00A05340">
      <w:rPr>
        <w:rStyle w:val="NTGFooterDateVersionChar"/>
      </w:rPr>
      <w:t>26 October 2017</w:t>
    </w:r>
    <w:r w:rsidR="00D4676E">
      <w:rPr>
        <w:rStyle w:val="NTGFooterDateVersionChar"/>
      </w:rPr>
      <w:fldChar w:fldCharType="end"/>
    </w:r>
    <w:r w:rsidR="00D4676E" w:rsidRPr="007C50E4">
      <w:rPr>
        <w:rStyle w:val="NTGFooterDateVersionChar"/>
      </w:rPr>
      <w:t xml:space="preserve">, </w:t>
    </w:r>
    <w:r w:rsidR="00D4676E" w:rsidRPr="00021422">
      <w:rPr>
        <w:rStyle w:val="NTGFooterDateVersionChar"/>
      </w:rPr>
      <w:t>Version </w:t>
    </w:r>
    <w:r w:rsidR="00754D68">
      <w:rPr>
        <w:rStyle w:val="NTGFooterDateVersionChar"/>
      </w:rPr>
      <w:t>1</w:t>
    </w:r>
    <w:r>
      <w:rPr>
        <w:rStyle w:val="NTGFooterDateVersionChar"/>
      </w:rPr>
      <w:t>.0</w:t>
    </w:r>
  </w:p>
  <w:p w:rsidR="00D4676E" w:rsidRPr="00AD1F23" w:rsidRDefault="00021C54" w:rsidP="00B8229A">
    <w:pPr>
      <w:pStyle w:val="NTGFooterPagenumber"/>
      <w:tabs>
        <w:tab w:val="clear" w:pos="9026"/>
        <w:tab w:val="right" w:pos="9639"/>
      </w:tabs>
      <w:spacing w:after="600"/>
    </w:pPr>
    <w:r w:rsidRPr="00FA214B">
      <w:t>Printed copies are for reference only.  Refer to NTG Central for the latest version</w:t>
    </w:r>
    <w:r w:rsidRPr="00797230">
      <w:t>.</w:t>
    </w:r>
    <w:r w:rsidR="00D4676E">
      <w:tab/>
      <w:t xml:space="preserve">Page </w:t>
    </w:r>
    <w:r w:rsidR="00D4676E">
      <w:fldChar w:fldCharType="begin"/>
    </w:r>
    <w:r w:rsidR="00D4676E">
      <w:instrText xml:space="preserve"> PAGE  \* Arabic  \* MERGEFORMAT </w:instrText>
    </w:r>
    <w:r w:rsidR="00D4676E">
      <w:fldChar w:fldCharType="separate"/>
    </w:r>
    <w:r w:rsidR="00E72867">
      <w:rPr>
        <w:noProof/>
      </w:rPr>
      <w:t>3</w:t>
    </w:r>
    <w:r w:rsidR="00D4676E">
      <w:fldChar w:fldCharType="end"/>
    </w:r>
    <w:r w:rsidR="00D4676E">
      <w:t xml:space="preserve"> of </w:t>
    </w:r>
    <w:r w:rsidR="00582F79">
      <w:fldChar w:fldCharType="begin"/>
    </w:r>
    <w:r w:rsidR="00582F79">
      <w:instrText xml:space="preserve"> NUMPAGES  \* Arabic  \* MERGEFORMAT </w:instrText>
    </w:r>
    <w:r w:rsidR="00582F79">
      <w:fldChar w:fldCharType="separate"/>
    </w:r>
    <w:r w:rsidR="00A05340">
      <w:rPr>
        <w:noProof/>
      </w:rPr>
      <w:t>6</w:t>
    </w:r>
    <w:r w:rsidR="00582F7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63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6800"/>
      <w:gridCol w:w="2839"/>
    </w:tblGrid>
    <w:tr w:rsidR="00D4676E" w:rsidRPr="002C6633" w:rsidTr="00A9508D">
      <w:trPr>
        <w:cantSplit/>
        <w:trHeight w:hRule="exact" w:val="1400"/>
        <w:tblHeader/>
      </w:trPr>
      <w:tc>
        <w:tcPr>
          <w:tcW w:w="6800" w:type="dxa"/>
          <w:vAlign w:val="center"/>
        </w:tcPr>
        <w:p w:rsidR="00D4676E" w:rsidRPr="002C6633" w:rsidRDefault="004D43CD" w:rsidP="004D43CD">
          <w:pPr>
            <w:pStyle w:val="Footer"/>
            <w:spacing w:before="280"/>
            <w:ind w:right="0"/>
          </w:pPr>
          <w:r>
            <w:rPr>
              <w:rStyle w:val="NTGFooterDepartmentofChar"/>
            </w:rPr>
            <w:t>office</w:t>
          </w:r>
          <w:r w:rsidR="00E72867">
            <w:rPr>
              <w:rStyle w:val="NTGFooterDepartmentofChar"/>
            </w:rPr>
            <w:t xml:space="preserve"> OF </w:t>
          </w:r>
          <w:r>
            <w:rPr>
              <w:rStyle w:val="NTGFooterDepartmentofChar"/>
              <w:rFonts w:ascii="Arial Black" w:hAnsi="Arial Black"/>
            </w:rPr>
            <w:t>digital government</w:t>
          </w:r>
          <w:r w:rsidR="00D4676E" w:rsidRPr="002C6633">
            <w:br/>
          </w:r>
        </w:p>
      </w:tc>
      <w:tc>
        <w:tcPr>
          <w:tcW w:w="2839" w:type="dxa"/>
          <w:vAlign w:val="center"/>
        </w:tcPr>
        <w:p w:rsidR="00D4676E" w:rsidRPr="002C6633" w:rsidRDefault="00D4676E" w:rsidP="002C6633">
          <w:pPr>
            <w:spacing w:after="0" w:line="252" w:lineRule="auto"/>
            <w:ind w:left="709"/>
            <w:jc w:val="right"/>
            <w:rPr>
              <w:rFonts w:cs="Arial"/>
              <w:sz w:val="20"/>
            </w:rPr>
          </w:pPr>
          <w:r w:rsidRPr="002C6633">
            <w:rPr>
              <w:rFonts w:cs="Arial"/>
              <w:noProof/>
              <w:sz w:val="20"/>
              <w:lang w:eastAsia="en-AU"/>
            </w:rPr>
            <w:drawing>
              <wp:inline distT="0" distB="0" distL="0" distR="0" wp14:anchorId="6DA687BD" wp14:editId="28B25A1E">
                <wp:extent cx="1347470" cy="481330"/>
                <wp:effectExtent l="0" t="0" r="5080" b="0"/>
                <wp:docPr id="2" name="Picture 2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747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D4676E" w:rsidRPr="002C6633" w:rsidRDefault="00D4676E" w:rsidP="00410CF8">
    <w:pPr>
      <w:pStyle w:val="Footerspacing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867" w:rsidRPr="009A7587" w:rsidRDefault="00582F79" w:rsidP="00E72867">
    <w:pPr>
      <w:tabs>
        <w:tab w:val="right" w:pos="9638"/>
      </w:tabs>
      <w:spacing w:after="120"/>
      <w:rPr>
        <w:sz w:val="16"/>
        <w:szCs w:val="16"/>
      </w:rPr>
    </w:pPr>
    <w:r>
      <w:pict>
        <v:rect id="_x0000_i1026" style="width:481.9pt;height:.5pt;mso-position-vertical:absolute" o:hralign="center" o:hrstd="t" o:hrnoshade="t" o:hr="t" fillcolor="black [3213]" stroked="f"/>
      </w:pict>
    </w:r>
  </w:p>
  <w:p w:rsidR="00207B48" w:rsidRDefault="004D43CD" w:rsidP="00E72867">
    <w:pPr>
      <w:tabs>
        <w:tab w:val="right" w:pos="9639"/>
      </w:tabs>
      <w:spacing w:after="0"/>
      <w:rPr>
        <w:rStyle w:val="NTGFooterDateVersionChar"/>
      </w:rPr>
    </w:pPr>
    <w:r>
      <w:rPr>
        <w:rStyle w:val="NTGFooterDepartmentofChar"/>
      </w:rPr>
      <w:t xml:space="preserve">office OF </w:t>
    </w:r>
    <w:r>
      <w:rPr>
        <w:rStyle w:val="NTGFooterDepartmentofChar"/>
        <w:rFonts w:ascii="Arial Black" w:hAnsi="Arial Black"/>
      </w:rPr>
      <w:t>digital government</w:t>
    </w:r>
    <w:r w:rsidR="00E72867">
      <w:tab/>
    </w:r>
    <w:r w:rsidR="00E72867">
      <w:rPr>
        <w:rStyle w:val="NTGFooterDateVersionChar"/>
      </w:rPr>
      <w:fldChar w:fldCharType="begin"/>
    </w:r>
    <w:r w:rsidR="00E72867">
      <w:rPr>
        <w:rStyle w:val="NTGFooterDateVersionChar"/>
      </w:rPr>
      <w:instrText xml:space="preserve"> DOCPROPERTY  DocumentDate  \* MERGEFORMAT </w:instrText>
    </w:r>
    <w:r w:rsidR="00E72867">
      <w:rPr>
        <w:rStyle w:val="NTGFooterDateVersionChar"/>
      </w:rPr>
      <w:fldChar w:fldCharType="separate"/>
    </w:r>
    <w:r w:rsidR="00A05340">
      <w:rPr>
        <w:rStyle w:val="NTGFooterDateVersionChar"/>
      </w:rPr>
      <w:t>26 October 2017</w:t>
    </w:r>
    <w:r w:rsidR="00E72867">
      <w:rPr>
        <w:rStyle w:val="NTGFooterDateVersionChar"/>
      </w:rPr>
      <w:fldChar w:fldCharType="end"/>
    </w:r>
    <w:r w:rsidR="00E72867" w:rsidRPr="007C50E4">
      <w:rPr>
        <w:rStyle w:val="NTGFooterDateVersionChar"/>
      </w:rPr>
      <w:t xml:space="preserve">, </w:t>
    </w:r>
    <w:r w:rsidR="00E72867" w:rsidRPr="00021422">
      <w:rPr>
        <w:rStyle w:val="NTGFooterDateVersionChar"/>
      </w:rPr>
      <w:t>Version </w:t>
    </w:r>
    <w:r w:rsidR="00D06548">
      <w:rPr>
        <w:rStyle w:val="NTGFooterDateVersionChar"/>
      </w:rPr>
      <w:t>2.0</w:t>
    </w:r>
  </w:p>
  <w:p w:rsidR="00E72867" w:rsidRPr="00E72867" w:rsidRDefault="00E72867" w:rsidP="00E72867">
    <w:pPr>
      <w:pStyle w:val="NTGFooterPagenumber"/>
      <w:tabs>
        <w:tab w:val="clear" w:pos="9026"/>
        <w:tab w:val="right" w:pos="9639"/>
      </w:tabs>
      <w:spacing w:after="600"/>
    </w:pPr>
    <w:r w:rsidRPr="00FA214B">
      <w:t>Printed</w:t>
    </w:r>
    <w:r w:rsidR="00477F79">
      <w:t xml:space="preserve"> copies are for reference only.</w:t>
    </w:r>
    <w:r w:rsidRPr="00FA214B">
      <w:t xml:space="preserve"> </w:t>
    </w:r>
    <w:r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A05340">
      <w:rPr>
        <w:noProof/>
      </w:rPr>
      <w:t>6</w:t>
    </w:r>
    <w:r>
      <w:fldChar w:fldCharType="end"/>
    </w:r>
    <w:r>
      <w:t xml:space="preserve"> of </w:t>
    </w:r>
    <w:r w:rsidR="00582F79">
      <w:fldChar w:fldCharType="begin"/>
    </w:r>
    <w:r w:rsidR="00582F79">
      <w:instrText xml:space="preserve"> NUMPAGES  \* Arabic  \* MERGEFORMAT </w:instrText>
    </w:r>
    <w:r w:rsidR="00582F79">
      <w:fldChar w:fldCharType="separate"/>
    </w:r>
    <w:r w:rsidR="00A05340">
      <w:rPr>
        <w:noProof/>
      </w:rPr>
      <w:t>6</w:t>
    </w:r>
    <w:r w:rsidR="00582F7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F79" w:rsidRDefault="00582F79" w:rsidP="00293A72">
      <w:r>
        <w:separator/>
      </w:r>
    </w:p>
  </w:footnote>
  <w:footnote w:type="continuationSeparator" w:id="0">
    <w:p w:rsidR="00582F79" w:rsidRDefault="00582F79" w:rsidP="00293A72">
      <w:r>
        <w:continuationSeparator/>
      </w:r>
    </w:p>
  </w:footnote>
  <w:footnote w:type="continuationNotice" w:id="1">
    <w:p w:rsidR="00582F79" w:rsidRPr="00FB5692" w:rsidRDefault="00582F79" w:rsidP="00FB5692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76E" w:rsidRPr="00274F1C" w:rsidRDefault="00582F79" w:rsidP="00C62099">
    <w:pPr>
      <w:pStyle w:val="Header"/>
      <w:tabs>
        <w:tab w:val="clear" w:pos="4513"/>
        <w:tab w:val="clear" w:pos="9026"/>
      </w:tabs>
      <w:ind w:right="-285"/>
    </w:pPr>
    <w:r>
      <w:fldChar w:fldCharType="begin"/>
    </w:r>
    <w:r>
      <w:instrText xml:space="preserve"> TITLE   \* MERGEFORMAT </w:instrText>
    </w:r>
    <w:r>
      <w:fldChar w:fldCharType="separate"/>
    </w:r>
    <w:r w:rsidR="00A05340">
      <w:t>Video Conferencing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Description w:val="All of Government Policy Framework"/>
    </w:tblPr>
    <w:tblGrid>
      <w:gridCol w:w="4840"/>
      <w:gridCol w:w="4798"/>
    </w:tblGrid>
    <w:tr w:rsidR="00D4676E" w:rsidTr="00E72867">
      <w:trPr>
        <w:cantSplit/>
        <w:tblHeader/>
      </w:trPr>
      <w:tc>
        <w:tcPr>
          <w:tcW w:w="4883" w:type="dxa"/>
        </w:tcPr>
        <w:p w:rsidR="00D4676E" w:rsidRDefault="00D4676E" w:rsidP="002B5FF8">
          <w:pPr>
            <w:pStyle w:val="Appendix"/>
          </w:pPr>
          <w:r>
            <w:t>All of Government</w:t>
          </w:r>
        </w:p>
      </w:tc>
      <w:tc>
        <w:tcPr>
          <w:tcW w:w="4858" w:type="dxa"/>
          <w:shd w:val="clear" w:color="auto" w:fill="808080" w:themeFill="background1" w:themeFillShade="80"/>
          <w:vAlign w:val="center"/>
        </w:tcPr>
        <w:p w:rsidR="00D4676E" w:rsidRPr="009B7033" w:rsidRDefault="00D4676E" w:rsidP="009B7033">
          <w:pPr>
            <w:pStyle w:val="Appendix"/>
            <w:spacing w:beforeLines="20" w:before="48" w:afterLines="20" w:after="48"/>
            <w:jc w:val="center"/>
            <w:rPr>
              <w:color w:val="FFFFFF" w:themeColor="background1"/>
            </w:rPr>
          </w:pPr>
          <w:r w:rsidRPr="009B7033">
            <w:rPr>
              <w:color w:val="FFFFFF" w:themeColor="background1"/>
            </w:rPr>
            <w:t xml:space="preserve">Policy </w:t>
          </w:r>
        </w:p>
        <w:p w:rsidR="00D4676E" w:rsidRPr="00E60EEE" w:rsidRDefault="00D4676E" w:rsidP="009B7033">
          <w:pPr>
            <w:spacing w:beforeLines="20" w:before="48" w:afterLines="20" w:after="48"/>
            <w:jc w:val="center"/>
          </w:pPr>
          <w:r w:rsidRPr="009B7033">
            <w:rPr>
              <w:color w:val="FFFFFF" w:themeColor="background1"/>
            </w:rPr>
            <w:t>Primary Document</w:t>
          </w:r>
        </w:p>
      </w:tc>
    </w:tr>
  </w:tbl>
  <w:p w:rsidR="00D4676E" w:rsidRPr="00E72867" w:rsidRDefault="00D4676E" w:rsidP="00E72867">
    <w:pPr>
      <w:pStyle w:val="BlockTex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76E" w:rsidRPr="00274F1C" w:rsidRDefault="00D4676E" w:rsidP="005E2F53">
    <w:pPr>
      <w:pStyle w:val="Header"/>
      <w:tabs>
        <w:tab w:val="clear" w:pos="4513"/>
        <w:tab w:val="clear" w:pos="9026"/>
      </w:tabs>
      <w:ind w:right="-1"/>
    </w:pPr>
    <w:r w:rsidRPr="00274F1C">
      <w:t>Table of Contents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76E" w:rsidRDefault="00D06548" w:rsidP="00137AA9">
    <w:pPr>
      <w:pStyle w:val="Header"/>
    </w:pPr>
    <w:r>
      <w:t>Video Conferencing Policy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7CEEB7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284924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9F02BA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D566EE"/>
    <w:multiLevelType w:val="hybridMultilevel"/>
    <w:tmpl w:val="068EE7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F2279"/>
    <w:multiLevelType w:val="hybridMultilevel"/>
    <w:tmpl w:val="829C12D2"/>
    <w:lvl w:ilvl="0" w:tplc="40CAD676">
      <w:start w:val="1"/>
      <w:numFmt w:val="decimal"/>
      <w:lvlText w:val="%1."/>
      <w:lvlJc w:val="left"/>
      <w:pPr>
        <w:ind w:left="1077" w:hanging="360"/>
      </w:p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4E93944"/>
    <w:multiLevelType w:val="multilevel"/>
    <w:tmpl w:val="561CD30E"/>
    <w:styleLink w:val="NTGStandard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9584B"/>
    <w:multiLevelType w:val="multilevel"/>
    <w:tmpl w:val="95661914"/>
    <w:styleLink w:val="NTGTable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7" w15:restartNumberingAfterBreak="0">
    <w:nsid w:val="3386567B"/>
    <w:multiLevelType w:val="hybridMultilevel"/>
    <w:tmpl w:val="AF8627E4"/>
    <w:lvl w:ilvl="0" w:tplc="982E8FDA">
      <w:start w:val="1"/>
      <w:numFmt w:val="bullet"/>
      <w:pStyle w:val="TableListParagraph2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403B6923"/>
    <w:multiLevelType w:val="hybridMultilevel"/>
    <w:tmpl w:val="48126F7E"/>
    <w:lvl w:ilvl="0" w:tplc="108ADE96">
      <w:start w:val="1"/>
      <w:numFmt w:val="bullet"/>
      <w:pStyle w:val="TableListParagraph1"/>
      <w:lvlText w:val=""/>
      <w:lvlJc w:val="left"/>
      <w:pPr>
        <w:ind w:left="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9" w15:restartNumberingAfterBreak="0">
    <w:nsid w:val="44037135"/>
    <w:multiLevelType w:val="hybridMultilevel"/>
    <w:tmpl w:val="BD2E48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35E44"/>
    <w:multiLevelType w:val="multilevel"/>
    <w:tmpl w:val="53204A44"/>
    <w:styleLink w:val="NTGTableNum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48628B6"/>
    <w:multiLevelType w:val="multilevel"/>
    <w:tmpl w:val="2A3A6908"/>
    <w:lvl w:ilvl="0">
      <w:start w:val="1"/>
      <w:numFmt w:val="lowerRoman"/>
      <w:pStyle w:val="NumberedPara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4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32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20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4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2087" w:hanging="567"/>
      </w:pPr>
      <w:rPr>
        <w:rFonts w:hint="default"/>
      </w:rPr>
    </w:lvl>
  </w:abstractNum>
  <w:abstractNum w:abstractNumId="12" w15:restartNumberingAfterBreak="0">
    <w:nsid w:val="79CC6470"/>
    <w:multiLevelType w:val="multilevel"/>
    <w:tmpl w:val="363277F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2280" w:hanging="720"/>
      </w:pPr>
    </w:lvl>
    <w:lvl w:ilvl="3">
      <w:start w:val="1"/>
      <w:numFmt w:val="decimal"/>
      <w:pStyle w:val="Heading4"/>
      <w:lvlText w:val="%1.%2.%3.%4"/>
      <w:lvlJc w:val="left"/>
      <w:pPr>
        <w:ind w:left="1148" w:hanging="864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FBA5A06"/>
    <w:multiLevelType w:val="multilevel"/>
    <w:tmpl w:val="D6226722"/>
    <w:styleLink w:val="Style2"/>
    <w:lvl w:ilvl="0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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13"/>
  </w:num>
  <w:num w:numId="8">
    <w:abstractNumId w:val="6"/>
  </w:num>
  <w:num w:numId="9">
    <w:abstractNumId w:val="10"/>
  </w:num>
  <w:num w:numId="10">
    <w:abstractNumId w:val="12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4"/>
  </w:num>
  <w:num w:numId="37">
    <w:abstractNumId w:val="9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106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E07"/>
    <w:rsid w:val="00001665"/>
    <w:rsid w:val="0001749F"/>
    <w:rsid w:val="00020249"/>
    <w:rsid w:val="00021422"/>
    <w:rsid w:val="00021C54"/>
    <w:rsid w:val="00027D9F"/>
    <w:rsid w:val="00030C95"/>
    <w:rsid w:val="00031544"/>
    <w:rsid w:val="00031593"/>
    <w:rsid w:val="0003387A"/>
    <w:rsid w:val="00037236"/>
    <w:rsid w:val="000374B8"/>
    <w:rsid w:val="00044860"/>
    <w:rsid w:val="0005581E"/>
    <w:rsid w:val="000579A7"/>
    <w:rsid w:val="000659AD"/>
    <w:rsid w:val="00067F54"/>
    <w:rsid w:val="0007076E"/>
    <w:rsid w:val="00071D36"/>
    <w:rsid w:val="0007259C"/>
    <w:rsid w:val="00075D8F"/>
    <w:rsid w:val="000869B5"/>
    <w:rsid w:val="000A0C61"/>
    <w:rsid w:val="000A55BC"/>
    <w:rsid w:val="000B580E"/>
    <w:rsid w:val="000C21B3"/>
    <w:rsid w:val="000D3600"/>
    <w:rsid w:val="000D601D"/>
    <w:rsid w:val="000E2281"/>
    <w:rsid w:val="000E2477"/>
    <w:rsid w:val="000E3A0B"/>
    <w:rsid w:val="000E4DA4"/>
    <w:rsid w:val="000E538B"/>
    <w:rsid w:val="000E64AE"/>
    <w:rsid w:val="000E651C"/>
    <w:rsid w:val="000E749B"/>
    <w:rsid w:val="000F0145"/>
    <w:rsid w:val="000F1CDB"/>
    <w:rsid w:val="0010364F"/>
    <w:rsid w:val="00107717"/>
    <w:rsid w:val="001131C9"/>
    <w:rsid w:val="00117743"/>
    <w:rsid w:val="00117F5B"/>
    <w:rsid w:val="00122FDD"/>
    <w:rsid w:val="00126ADB"/>
    <w:rsid w:val="00126E8C"/>
    <w:rsid w:val="001324D8"/>
    <w:rsid w:val="00132F92"/>
    <w:rsid w:val="00137AA9"/>
    <w:rsid w:val="00146905"/>
    <w:rsid w:val="00146EF5"/>
    <w:rsid w:val="00150B00"/>
    <w:rsid w:val="001621A8"/>
    <w:rsid w:val="001636FF"/>
    <w:rsid w:val="001638F6"/>
    <w:rsid w:val="001669DD"/>
    <w:rsid w:val="0017601D"/>
    <w:rsid w:val="00184F9F"/>
    <w:rsid w:val="001909F9"/>
    <w:rsid w:val="001A2B7F"/>
    <w:rsid w:val="001B00E6"/>
    <w:rsid w:val="001B47E3"/>
    <w:rsid w:val="001C4E85"/>
    <w:rsid w:val="001D481A"/>
    <w:rsid w:val="001D6766"/>
    <w:rsid w:val="001D705C"/>
    <w:rsid w:val="001E00F8"/>
    <w:rsid w:val="001E08F6"/>
    <w:rsid w:val="001E2F4C"/>
    <w:rsid w:val="001E5ECE"/>
    <w:rsid w:val="001F139B"/>
    <w:rsid w:val="00204C57"/>
    <w:rsid w:val="0020686A"/>
    <w:rsid w:val="00207B48"/>
    <w:rsid w:val="00210858"/>
    <w:rsid w:val="00215125"/>
    <w:rsid w:val="0021557D"/>
    <w:rsid w:val="00216DAC"/>
    <w:rsid w:val="00217D73"/>
    <w:rsid w:val="002213F4"/>
    <w:rsid w:val="0022771E"/>
    <w:rsid w:val="00230617"/>
    <w:rsid w:val="002369CD"/>
    <w:rsid w:val="00240B1D"/>
    <w:rsid w:val="00254570"/>
    <w:rsid w:val="00255F0F"/>
    <w:rsid w:val="00265121"/>
    <w:rsid w:val="00272D80"/>
    <w:rsid w:val="00274F1C"/>
    <w:rsid w:val="00275213"/>
    <w:rsid w:val="00287CA3"/>
    <w:rsid w:val="00293A72"/>
    <w:rsid w:val="002A469D"/>
    <w:rsid w:val="002A57F2"/>
    <w:rsid w:val="002B5C32"/>
    <w:rsid w:val="002B5FF8"/>
    <w:rsid w:val="002B6016"/>
    <w:rsid w:val="002C3C6A"/>
    <w:rsid w:val="002C6633"/>
    <w:rsid w:val="002D1DC9"/>
    <w:rsid w:val="002D348C"/>
    <w:rsid w:val="002D385E"/>
    <w:rsid w:val="002E3B83"/>
    <w:rsid w:val="002E6C40"/>
    <w:rsid w:val="002F0CDE"/>
    <w:rsid w:val="002F2885"/>
    <w:rsid w:val="00300680"/>
    <w:rsid w:val="00310930"/>
    <w:rsid w:val="00310B65"/>
    <w:rsid w:val="00311DF6"/>
    <w:rsid w:val="0032424B"/>
    <w:rsid w:val="00324FA7"/>
    <w:rsid w:val="003259BE"/>
    <w:rsid w:val="00332E77"/>
    <w:rsid w:val="0033448F"/>
    <w:rsid w:val="00342283"/>
    <w:rsid w:val="00343B02"/>
    <w:rsid w:val="0034463B"/>
    <w:rsid w:val="0034713C"/>
    <w:rsid w:val="00347352"/>
    <w:rsid w:val="00354E47"/>
    <w:rsid w:val="00356F18"/>
    <w:rsid w:val="00362D35"/>
    <w:rsid w:val="00365896"/>
    <w:rsid w:val="0036601D"/>
    <w:rsid w:val="003709CE"/>
    <w:rsid w:val="003758FE"/>
    <w:rsid w:val="00375DE4"/>
    <w:rsid w:val="00390044"/>
    <w:rsid w:val="00391402"/>
    <w:rsid w:val="00394AAF"/>
    <w:rsid w:val="003C28E8"/>
    <w:rsid w:val="003C2B69"/>
    <w:rsid w:val="003C5418"/>
    <w:rsid w:val="003C66A4"/>
    <w:rsid w:val="003D0E7C"/>
    <w:rsid w:val="003D1543"/>
    <w:rsid w:val="003D175E"/>
    <w:rsid w:val="003D2E72"/>
    <w:rsid w:val="003D5DCE"/>
    <w:rsid w:val="003D5EF1"/>
    <w:rsid w:val="003E609D"/>
    <w:rsid w:val="003F0BAA"/>
    <w:rsid w:val="003F74AF"/>
    <w:rsid w:val="00400524"/>
    <w:rsid w:val="0040222A"/>
    <w:rsid w:val="004047BC"/>
    <w:rsid w:val="00404B85"/>
    <w:rsid w:val="00405470"/>
    <w:rsid w:val="00407CDD"/>
    <w:rsid w:val="00410CF8"/>
    <w:rsid w:val="00412C0B"/>
    <w:rsid w:val="0041634E"/>
    <w:rsid w:val="00420C06"/>
    <w:rsid w:val="0042197E"/>
    <w:rsid w:val="0042205C"/>
    <w:rsid w:val="00426E25"/>
    <w:rsid w:val="00431A45"/>
    <w:rsid w:val="004350A7"/>
    <w:rsid w:val="00445D93"/>
    <w:rsid w:val="00452631"/>
    <w:rsid w:val="00455F7D"/>
    <w:rsid w:val="004569A0"/>
    <w:rsid w:val="004611EE"/>
    <w:rsid w:val="00463FFC"/>
    <w:rsid w:val="00473871"/>
    <w:rsid w:val="00477F79"/>
    <w:rsid w:val="0049610D"/>
    <w:rsid w:val="004A097C"/>
    <w:rsid w:val="004A1318"/>
    <w:rsid w:val="004A5828"/>
    <w:rsid w:val="004A5AC6"/>
    <w:rsid w:val="004B2208"/>
    <w:rsid w:val="004B2CE3"/>
    <w:rsid w:val="004B56D0"/>
    <w:rsid w:val="004B79F1"/>
    <w:rsid w:val="004C1D5E"/>
    <w:rsid w:val="004D43CD"/>
    <w:rsid w:val="004D538E"/>
    <w:rsid w:val="004F1EA5"/>
    <w:rsid w:val="004F3A84"/>
    <w:rsid w:val="004F5154"/>
    <w:rsid w:val="004F5FB8"/>
    <w:rsid w:val="00504446"/>
    <w:rsid w:val="00505184"/>
    <w:rsid w:val="0050585D"/>
    <w:rsid w:val="00506F94"/>
    <w:rsid w:val="00507782"/>
    <w:rsid w:val="00512A04"/>
    <w:rsid w:val="00513D5B"/>
    <w:rsid w:val="00517D7A"/>
    <w:rsid w:val="00522C01"/>
    <w:rsid w:val="0052441C"/>
    <w:rsid w:val="00525A63"/>
    <w:rsid w:val="00525EB8"/>
    <w:rsid w:val="0054215A"/>
    <w:rsid w:val="00550F98"/>
    <w:rsid w:val="005518B2"/>
    <w:rsid w:val="00552DC3"/>
    <w:rsid w:val="0055699A"/>
    <w:rsid w:val="005570C9"/>
    <w:rsid w:val="00563B18"/>
    <w:rsid w:val="005654B8"/>
    <w:rsid w:val="005666BC"/>
    <w:rsid w:val="0056691F"/>
    <w:rsid w:val="00576314"/>
    <w:rsid w:val="005770B9"/>
    <w:rsid w:val="005801A9"/>
    <w:rsid w:val="00582F79"/>
    <w:rsid w:val="00584F5C"/>
    <w:rsid w:val="0058594A"/>
    <w:rsid w:val="00592014"/>
    <w:rsid w:val="00592F52"/>
    <w:rsid w:val="005A0CC8"/>
    <w:rsid w:val="005A7A8F"/>
    <w:rsid w:val="005B4B80"/>
    <w:rsid w:val="005B5AC2"/>
    <w:rsid w:val="005B77FD"/>
    <w:rsid w:val="005C1413"/>
    <w:rsid w:val="005C57DE"/>
    <w:rsid w:val="005D269A"/>
    <w:rsid w:val="005D2845"/>
    <w:rsid w:val="005D6BD7"/>
    <w:rsid w:val="005E2F53"/>
    <w:rsid w:val="005E540C"/>
    <w:rsid w:val="005E6AF0"/>
    <w:rsid w:val="00603330"/>
    <w:rsid w:val="00611486"/>
    <w:rsid w:val="00615CB9"/>
    <w:rsid w:val="0062147A"/>
    <w:rsid w:val="00622C25"/>
    <w:rsid w:val="0062572E"/>
    <w:rsid w:val="00625C16"/>
    <w:rsid w:val="006279A6"/>
    <w:rsid w:val="00630CB2"/>
    <w:rsid w:val="00631EB0"/>
    <w:rsid w:val="006324C4"/>
    <w:rsid w:val="0063341B"/>
    <w:rsid w:val="00634329"/>
    <w:rsid w:val="0063767E"/>
    <w:rsid w:val="00640FC1"/>
    <w:rsid w:val="006471CC"/>
    <w:rsid w:val="00650F5B"/>
    <w:rsid w:val="00653FC6"/>
    <w:rsid w:val="00654717"/>
    <w:rsid w:val="00657A77"/>
    <w:rsid w:val="006621DD"/>
    <w:rsid w:val="00664D41"/>
    <w:rsid w:val="00671027"/>
    <w:rsid w:val="006719EA"/>
    <w:rsid w:val="00673D4E"/>
    <w:rsid w:val="0068187F"/>
    <w:rsid w:val="006833F8"/>
    <w:rsid w:val="00687540"/>
    <w:rsid w:val="006927B6"/>
    <w:rsid w:val="00695664"/>
    <w:rsid w:val="006958D1"/>
    <w:rsid w:val="006A35F1"/>
    <w:rsid w:val="006A769B"/>
    <w:rsid w:val="006B3D31"/>
    <w:rsid w:val="006B74F9"/>
    <w:rsid w:val="006B7A4C"/>
    <w:rsid w:val="006C1156"/>
    <w:rsid w:val="006C391B"/>
    <w:rsid w:val="006D420E"/>
    <w:rsid w:val="006D475B"/>
    <w:rsid w:val="006E1297"/>
    <w:rsid w:val="006E2015"/>
    <w:rsid w:val="006E6D06"/>
    <w:rsid w:val="006F18EB"/>
    <w:rsid w:val="00704FDF"/>
    <w:rsid w:val="00705033"/>
    <w:rsid w:val="007053D7"/>
    <w:rsid w:val="007152DD"/>
    <w:rsid w:val="00722DDB"/>
    <w:rsid w:val="00723101"/>
    <w:rsid w:val="0072664A"/>
    <w:rsid w:val="00731FA1"/>
    <w:rsid w:val="00734655"/>
    <w:rsid w:val="00736E66"/>
    <w:rsid w:val="007408F5"/>
    <w:rsid w:val="007503C8"/>
    <w:rsid w:val="00751BE4"/>
    <w:rsid w:val="00754D68"/>
    <w:rsid w:val="00762C0F"/>
    <w:rsid w:val="0076484E"/>
    <w:rsid w:val="00764C50"/>
    <w:rsid w:val="00775AA2"/>
    <w:rsid w:val="0079238B"/>
    <w:rsid w:val="00795399"/>
    <w:rsid w:val="0079605E"/>
    <w:rsid w:val="007A05D6"/>
    <w:rsid w:val="007A3E91"/>
    <w:rsid w:val="007A6554"/>
    <w:rsid w:val="007B2A4D"/>
    <w:rsid w:val="007B5415"/>
    <w:rsid w:val="007C7ECC"/>
    <w:rsid w:val="007D1A0C"/>
    <w:rsid w:val="007D304A"/>
    <w:rsid w:val="007D7594"/>
    <w:rsid w:val="007D7E7C"/>
    <w:rsid w:val="007E1AB8"/>
    <w:rsid w:val="007E20B5"/>
    <w:rsid w:val="007E4A26"/>
    <w:rsid w:val="007F1A1F"/>
    <w:rsid w:val="007F5861"/>
    <w:rsid w:val="00800CDB"/>
    <w:rsid w:val="008021DF"/>
    <w:rsid w:val="00803C1B"/>
    <w:rsid w:val="008054B6"/>
    <w:rsid w:val="0080627E"/>
    <w:rsid w:val="00806388"/>
    <w:rsid w:val="00806800"/>
    <w:rsid w:val="00812554"/>
    <w:rsid w:val="008232CF"/>
    <w:rsid w:val="008241F6"/>
    <w:rsid w:val="008249DC"/>
    <w:rsid w:val="0082601D"/>
    <w:rsid w:val="008313C4"/>
    <w:rsid w:val="00832C0E"/>
    <w:rsid w:val="00834F58"/>
    <w:rsid w:val="00840B05"/>
    <w:rsid w:val="00845863"/>
    <w:rsid w:val="0085153F"/>
    <w:rsid w:val="00854E23"/>
    <w:rsid w:val="00855D46"/>
    <w:rsid w:val="00861DC3"/>
    <w:rsid w:val="00862018"/>
    <w:rsid w:val="00875B49"/>
    <w:rsid w:val="00877053"/>
    <w:rsid w:val="00877C1A"/>
    <w:rsid w:val="008832A0"/>
    <w:rsid w:val="00892CF2"/>
    <w:rsid w:val="0089705F"/>
    <w:rsid w:val="008A07F5"/>
    <w:rsid w:val="008A4564"/>
    <w:rsid w:val="008B419E"/>
    <w:rsid w:val="008C1FC0"/>
    <w:rsid w:val="008D01A9"/>
    <w:rsid w:val="008D4255"/>
    <w:rsid w:val="008D4775"/>
    <w:rsid w:val="008E4A3C"/>
    <w:rsid w:val="008F1983"/>
    <w:rsid w:val="008F3330"/>
    <w:rsid w:val="008F3628"/>
    <w:rsid w:val="008F7F52"/>
    <w:rsid w:val="009036A6"/>
    <w:rsid w:val="00915310"/>
    <w:rsid w:val="00930CF7"/>
    <w:rsid w:val="00932176"/>
    <w:rsid w:val="00933F01"/>
    <w:rsid w:val="009373D5"/>
    <w:rsid w:val="00943840"/>
    <w:rsid w:val="00944714"/>
    <w:rsid w:val="009538CF"/>
    <w:rsid w:val="009616DF"/>
    <w:rsid w:val="00962142"/>
    <w:rsid w:val="00963C1C"/>
    <w:rsid w:val="00964F84"/>
    <w:rsid w:val="0096528F"/>
    <w:rsid w:val="0097266B"/>
    <w:rsid w:val="00990EDF"/>
    <w:rsid w:val="00993C8E"/>
    <w:rsid w:val="00997899"/>
    <w:rsid w:val="009978A0"/>
    <w:rsid w:val="009A25A1"/>
    <w:rsid w:val="009A58FE"/>
    <w:rsid w:val="009A7587"/>
    <w:rsid w:val="009B7033"/>
    <w:rsid w:val="009B7DBD"/>
    <w:rsid w:val="009D0EF7"/>
    <w:rsid w:val="009D3051"/>
    <w:rsid w:val="009D6559"/>
    <w:rsid w:val="009E175D"/>
    <w:rsid w:val="009E392B"/>
    <w:rsid w:val="009F78FB"/>
    <w:rsid w:val="00A05340"/>
    <w:rsid w:val="00A06508"/>
    <w:rsid w:val="00A06589"/>
    <w:rsid w:val="00A06F2A"/>
    <w:rsid w:val="00A14856"/>
    <w:rsid w:val="00A16E9D"/>
    <w:rsid w:val="00A2042D"/>
    <w:rsid w:val="00A23E25"/>
    <w:rsid w:val="00A24C50"/>
    <w:rsid w:val="00A2555B"/>
    <w:rsid w:val="00A2573A"/>
    <w:rsid w:val="00A3739D"/>
    <w:rsid w:val="00A37DDA"/>
    <w:rsid w:val="00A420F3"/>
    <w:rsid w:val="00A42D4E"/>
    <w:rsid w:val="00A45F95"/>
    <w:rsid w:val="00A46F78"/>
    <w:rsid w:val="00A50834"/>
    <w:rsid w:val="00A53808"/>
    <w:rsid w:val="00A7746C"/>
    <w:rsid w:val="00A90ED5"/>
    <w:rsid w:val="00A925EC"/>
    <w:rsid w:val="00A9508D"/>
    <w:rsid w:val="00A97C7A"/>
    <w:rsid w:val="00AA4961"/>
    <w:rsid w:val="00AA7A32"/>
    <w:rsid w:val="00AC710E"/>
    <w:rsid w:val="00AD55EA"/>
    <w:rsid w:val="00AD5654"/>
    <w:rsid w:val="00AF3FDB"/>
    <w:rsid w:val="00AF7BB4"/>
    <w:rsid w:val="00B023A1"/>
    <w:rsid w:val="00B0542E"/>
    <w:rsid w:val="00B10B34"/>
    <w:rsid w:val="00B11386"/>
    <w:rsid w:val="00B15FE4"/>
    <w:rsid w:val="00B31014"/>
    <w:rsid w:val="00B343CC"/>
    <w:rsid w:val="00B36316"/>
    <w:rsid w:val="00B42873"/>
    <w:rsid w:val="00B52FFB"/>
    <w:rsid w:val="00B54A23"/>
    <w:rsid w:val="00B611F9"/>
    <w:rsid w:val="00B61B26"/>
    <w:rsid w:val="00B62007"/>
    <w:rsid w:val="00B65426"/>
    <w:rsid w:val="00B7558F"/>
    <w:rsid w:val="00B8120F"/>
    <w:rsid w:val="00B8229A"/>
    <w:rsid w:val="00B826FE"/>
    <w:rsid w:val="00B913FF"/>
    <w:rsid w:val="00BA52EC"/>
    <w:rsid w:val="00BA5544"/>
    <w:rsid w:val="00BB18BB"/>
    <w:rsid w:val="00BB2406"/>
    <w:rsid w:val="00BB30EC"/>
    <w:rsid w:val="00BB548E"/>
    <w:rsid w:val="00BB6464"/>
    <w:rsid w:val="00BD14CE"/>
    <w:rsid w:val="00BD4342"/>
    <w:rsid w:val="00BE57AE"/>
    <w:rsid w:val="00BF5EB6"/>
    <w:rsid w:val="00C04CB9"/>
    <w:rsid w:val="00C11249"/>
    <w:rsid w:val="00C13505"/>
    <w:rsid w:val="00C13945"/>
    <w:rsid w:val="00C31BA1"/>
    <w:rsid w:val="00C40DBF"/>
    <w:rsid w:val="00C42979"/>
    <w:rsid w:val="00C43455"/>
    <w:rsid w:val="00C43EA1"/>
    <w:rsid w:val="00C47E22"/>
    <w:rsid w:val="00C5314E"/>
    <w:rsid w:val="00C54170"/>
    <w:rsid w:val="00C619DA"/>
    <w:rsid w:val="00C62099"/>
    <w:rsid w:val="00C62B89"/>
    <w:rsid w:val="00C7006E"/>
    <w:rsid w:val="00C70932"/>
    <w:rsid w:val="00C756B9"/>
    <w:rsid w:val="00C75E81"/>
    <w:rsid w:val="00C83B4F"/>
    <w:rsid w:val="00C86839"/>
    <w:rsid w:val="00CA3B32"/>
    <w:rsid w:val="00CB36E0"/>
    <w:rsid w:val="00CC7DEB"/>
    <w:rsid w:val="00CD3B9F"/>
    <w:rsid w:val="00CD4A6E"/>
    <w:rsid w:val="00CD72FE"/>
    <w:rsid w:val="00CE03FE"/>
    <w:rsid w:val="00CE1E9F"/>
    <w:rsid w:val="00CF0708"/>
    <w:rsid w:val="00D019B6"/>
    <w:rsid w:val="00D06548"/>
    <w:rsid w:val="00D118D0"/>
    <w:rsid w:val="00D12B4B"/>
    <w:rsid w:val="00D13A73"/>
    <w:rsid w:val="00D145EA"/>
    <w:rsid w:val="00D211FA"/>
    <w:rsid w:val="00D23DDD"/>
    <w:rsid w:val="00D24322"/>
    <w:rsid w:val="00D2523A"/>
    <w:rsid w:val="00D31094"/>
    <w:rsid w:val="00D332F1"/>
    <w:rsid w:val="00D44EAF"/>
    <w:rsid w:val="00D4676E"/>
    <w:rsid w:val="00D50356"/>
    <w:rsid w:val="00D60A3D"/>
    <w:rsid w:val="00D64043"/>
    <w:rsid w:val="00D71FC9"/>
    <w:rsid w:val="00D77D62"/>
    <w:rsid w:val="00D92A16"/>
    <w:rsid w:val="00D96470"/>
    <w:rsid w:val="00D975C0"/>
    <w:rsid w:val="00DA0997"/>
    <w:rsid w:val="00DA3ACE"/>
    <w:rsid w:val="00DB14CD"/>
    <w:rsid w:val="00DB152C"/>
    <w:rsid w:val="00DB244E"/>
    <w:rsid w:val="00DB7E5B"/>
    <w:rsid w:val="00DC42E6"/>
    <w:rsid w:val="00DC5DD9"/>
    <w:rsid w:val="00DD090F"/>
    <w:rsid w:val="00DD2A20"/>
    <w:rsid w:val="00DE2CB5"/>
    <w:rsid w:val="00DF0487"/>
    <w:rsid w:val="00DF2E19"/>
    <w:rsid w:val="00DF2E69"/>
    <w:rsid w:val="00DF43E8"/>
    <w:rsid w:val="00DF4919"/>
    <w:rsid w:val="00E15DAF"/>
    <w:rsid w:val="00E218F2"/>
    <w:rsid w:val="00E21E07"/>
    <w:rsid w:val="00E26295"/>
    <w:rsid w:val="00E2785C"/>
    <w:rsid w:val="00E36A00"/>
    <w:rsid w:val="00E4088F"/>
    <w:rsid w:val="00E42353"/>
    <w:rsid w:val="00E42488"/>
    <w:rsid w:val="00E54B6C"/>
    <w:rsid w:val="00E566A9"/>
    <w:rsid w:val="00E60EEE"/>
    <w:rsid w:val="00E72867"/>
    <w:rsid w:val="00E73134"/>
    <w:rsid w:val="00E74939"/>
    <w:rsid w:val="00E76D70"/>
    <w:rsid w:val="00E80D79"/>
    <w:rsid w:val="00E81F41"/>
    <w:rsid w:val="00E85523"/>
    <w:rsid w:val="00E867A6"/>
    <w:rsid w:val="00E910F9"/>
    <w:rsid w:val="00E97550"/>
    <w:rsid w:val="00EA03A2"/>
    <w:rsid w:val="00EA522A"/>
    <w:rsid w:val="00EA63E4"/>
    <w:rsid w:val="00EB59A5"/>
    <w:rsid w:val="00EB7942"/>
    <w:rsid w:val="00EB79D1"/>
    <w:rsid w:val="00EC30C1"/>
    <w:rsid w:val="00EC37C5"/>
    <w:rsid w:val="00EC59E3"/>
    <w:rsid w:val="00EC5D8E"/>
    <w:rsid w:val="00ED20CF"/>
    <w:rsid w:val="00ED2A9D"/>
    <w:rsid w:val="00EF0F04"/>
    <w:rsid w:val="00F02FB6"/>
    <w:rsid w:val="00F04113"/>
    <w:rsid w:val="00F27345"/>
    <w:rsid w:val="00F43242"/>
    <w:rsid w:val="00F44C03"/>
    <w:rsid w:val="00F525E6"/>
    <w:rsid w:val="00F5306E"/>
    <w:rsid w:val="00F5344D"/>
    <w:rsid w:val="00F53607"/>
    <w:rsid w:val="00F56C92"/>
    <w:rsid w:val="00F60011"/>
    <w:rsid w:val="00F6492F"/>
    <w:rsid w:val="00F66350"/>
    <w:rsid w:val="00F778CF"/>
    <w:rsid w:val="00F80070"/>
    <w:rsid w:val="00FA19E4"/>
    <w:rsid w:val="00FA2EAB"/>
    <w:rsid w:val="00FA4145"/>
    <w:rsid w:val="00FA6D3D"/>
    <w:rsid w:val="00FB2988"/>
    <w:rsid w:val="00FB3109"/>
    <w:rsid w:val="00FB5692"/>
    <w:rsid w:val="00FB62B0"/>
    <w:rsid w:val="00FC5A80"/>
    <w:rsid w:val="00FC6C12"/>
    <w:rsid w:val="00FD5F46"/>
    <w:rsid w:val="00FE26F3"/>
    <w:rsid w:val="00FE33B2"/>
    <w:rsid w:val="00FE6996"/>
    <w:rsid w:val="00FF6CE7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7072EB-98E2-413C-812A-22AD4544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8054B6"/>
    <w:pPr>
      <w:spacing w:after="200"/>
    </w:pPr>
  </w:style>
  <w:style w:type="paragraph" w:styleId="Heading1">
    <w:name w:val="heading 1"/>
    <w:basedOn w:val="Normal"/>
    <w:next w:val="BlockText"/>
    <w:link w:val="Heading1Char"/>
    <w:qFormat/>
    <w:rsid w:val="002B5FF8"/>
    <w:pPr>
      <w:keepNext/>
      <w:numPr>
        <w:numId w:val="10"/>
      </w:numPr>
      <w:spacing w:before="240"/>
      <w:ind w:left="709" w:hanging="709"/>
      <w:outlineLvl w:val="0"/>
    </w:pPr>
    <w:rPr>
      <w:rFonts w:eastAsiaTheme="majorEastAsia" w:cstheme="majorBidi"/>
      <w:b/>
      <w:bCs/>
      <w:kern w:val="32"/>
      <w:sz w:val="36"/>
      <w:szCs w:val="36"/>
    </w:rPr>
  </w:style>
  <w:style w:type="paragraph" w:styleId="Heading2">
    <w:name w:val="heading 2"/>
    <w:basedOn w:val="Normal"/>
    <w:next w:val="BlockText"/>
    <w:link w:val="Heading2Char"/>
    <w:qFormat/>
    <w:rsid w:val="002B5FF8"/>
    <w:pPr>
      <w:keepNext/>
      <w:numPr>
        <w:ilvl w:val="1"/>
        <w:numId w:val="10"/>
      </w:numPr>
      <w:spacing w:before="360"/>
      <w:ind w:left="851" w:hanging="851"/>
      <w:outlineLvl w:val="1"/>
    </w:pPr>
    <w:rPr>
      <w:rFonts w:eastAsiaTheme="majorEastAsia" w:cstheme="majorBidi"/>
      <w:b/>
      <w:bCs/>
      <w:iCs/>
      <w:color w:val="606060"/>
      <w:sz w:val="32"/>
      <w:szCs w:val="32"/>
    </w:rPr>
  </w:style>
  <w:style w:type="paragraph" w:styleId="Heading3">
    <w:name w:val="heading 3"/>
    <w:basedOn w:val="Normal"/>
    <w:next w:val="BlockText"/>
    <w:link w:val="Heading3Char"/>
    <w:qFormat/>
    <w:rsid w:val="00204C57"/>
    <w:pPr>
      <w:keepNext/>
      <w:numPr>
        <w:ilvl w:val="2"/>
        <w:numId w:val="10"/>
      </w:numPr>
      <w:spacing w:before="240"/>
      <w:ind w:left="851" w:hanging="851"/>
      <w:outlineLvl w:val="2"/>
    </w:pPr>
    <w:rPr>
      <w:rFonts w:cs="Arial"/>
      <w:b/>
      <w:bCs/>
      <w:color w:val="E36C0A" w:themeColor="accent6" w:themeShade="BF"/>
      <w:sz w:val="28"/>
      <w:szCs w:val="28"/>
    </w:rPr>
  </w:style>
  <w:style w:type="paragraph" w:styleId="Heading4">
    <w:name w:val="heading 4"/>
    <w:basedOn w:val="Normal"/>
    <w:next w:val="BlockText"/>
    <w:link w:val="Heading4Char"/>
    <w:rsid w:val="00204C57"/>
    <w:pPr>
      <w:keepNext/>
      <w:numPr>
        <w:ilvl w:val="3"/>
        <w:numId w:val="10"/>
      </w:numPr>
      <w:pBdr>
        <w:top w:val="single" w:sz="4" w:space="8" w:color="auto"/>
        <w:left w:val="single" w:sz="4" w:space="4" w:color="auto"/>
        <w:bottom w:val="single" w:sz="4" w:space="8" w:color="auto"/>
        <w:right w:val="single" w:sz="4" w:space="4" w:color="auto"/>
      </w:pBdr>
      <w:spacing w:after="240"/>
      <w:ind w:left="1134" w:hanging="1134"/>
      <w:outlineLvl w:val="3"/>
    </w:pPr>
    <w:rPr>
      <w:rFonts w:cs="Arial"/>
      <w:b/>
      <w:bCs/>
      <w:szCs w:val="26"/>
    </w:rPr>
  </w:style>
  <w:style w:type="paragraph" w:styleId="Heading5">
    <w:name w:val="heading 5"/>
    <w:basedOn w:val="Normal"/>
    <w:next w:val="BlockText"/>
    <w:link w:val="Heading5Char"/>
    <w:uiPriority w:val="9"/>
    <w:rsid w:val="008054B6"/>
    <w:pPr>
      <w:keepNext/>
      <w:numPr>
        <w:ilvl w:val="4"/>
        <w:numId w:val="10"/>
      </w:numPr>
      <w:ind w:left="1276" w:hanging="1276"/>
      <w:outlineLvl w:val="4"/>
    </w:pPr>
    <w:rPr>
      <w:b/>
      <w:color w:val="000000" w:themeColor="text1"/>
    </w:rPr>
  </w:style>
  <w:style w:type="paragraph" w:styleId="Heading6">
    <w:name w:val="heading 6"/>
    <w:basedOn w:val="Normal"/>
    <w:next w:val="BlockText"/>
    <w:link w:val="Heading6Char"/>
    <w:uiPriority w:val="9"/>
    <w:rsid w:val="008054B6"/>
    <w:pPr>
      <w:keepNext/>
      <w:numPr>
        <w:ilvl w:val="5"/>
        <w:numId w:val="10"/>
      </w:numPr>
      <w:ind w:left="1701" w:hanging="1701"/>
      <w:outlineLvl w:val="5"/>
    </w:pPr>
    <w:rPr>
      <w:b/>
      <w:color w:val="606060"/>
    </w:rPr>
  </w:style>
  <w:style w:type="paragraph" w:styleId="Heading7">
    <w:name w:val="heading 7"/>
    <w:basedOn w:val="Normal"/>
    <w:next w:val="BlockText"/>
    <w:link w:val="Heading7Char"/>
    <w:uiPriority w:val="9"/>
    <w:rsid w:val="008054B6"/>
    <w:pPr>
      <w:keepNext/>
      <w:numPr>
        <w:ilvl w:val="6"/>
        <w:numId w:val="10"/>
      </w:numPr>
      <w:ind w:left="1701" w:hanging="1701"/>
      <w:outlineLvl w:val="6"/>
    </w:pPr>
    <w:rPr>
      <w:b/>
      <w:color w:val="000000" w:themeColor="text1"/>
    </w:rPr>
  </w:style>
  <w:style w:type="paragraph" w:styleId="Heading8">
    <w:name w:val="heading 8"/>
    <w:basedOn w:val="Normal"/>
    <w:next w:val="BlockText"/>
    <w:link w:val="Heading8Char"/>
    <w:uiPriority w:val="9"/>
    <w:rsid w:val="008054B6"/>
    <w:pPr>
      <w:keepNext/>
      <w:numPr>
        <w:ilvl w:val="7"/>
        <w:numId w:val="10"/>
      </w:numPr>
      <w:ind w:left="2127" w:hanging="2127"/>
      <w:outlineLvl w:val="7"/>
    </w:pPr>
    <w:rPr>
      <w:b/>
      <w:color w:val="606060"/>
    </w:rPr>
  </w:style>
  <w:style w:type="paragraph" w:styleId="Heading9">
    <w:name w:val="heading 9"/>
    <w:basedOn w:val="Normal"/>
    <w:next w:val="BlockText"/>
    <w:link w:val="Heading9Char"/>
    <w:uiPriority w:val="9"/>
    <w:rsid w:val="008054B6"/>
    <w:pPr>
      <w:keepNext/>
      <w:numPr>
        <w:ilvl w:val="8"/>
        <w:numId w:val="10"/>
      </w:numPr>
      <w:outlineLvl w:val="8"/>
    </w:pPr>
    <w:rPr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20F3"/>
  </w:style>
  <w:style w:type="character" w:customStyle="1" w:styleId="Heading1Char">
    <w:name w:val="Heading 1 Char"/>
    <w:basedOn w:val="DefaultParagraphFont"/>
    <w:link w:val="Heading1"/>
    <w:rsid w:val="002B5FF8"/>
    <w:rPr>
      <w:rFonts w:eastAsiaTheme="majorEastAsia" w:cstheme="majorBidi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2B5FF8"/>
    <w:rPr>
      <w:rFonts w:eastAsiaTheme="majorEastAsia" w:cstheme="majorBidi"/>
      <w:b/>
      <w:bCs/>
      <w:iCs/>
      <w:color w:val="606060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654B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FC5A80"/>
    <w:rPr>
      <w:rFonts w:eastAsiaTheme="majorEastAsia" w:cstheme="majorBidi"/>
      <w:b/>
      <w:bCs/>
      <w:kern w:val="28"/>
      <w:sz w:val="32"/>
      <w:szCs w:val="32"/>
    </w:rPr>
  </w:style>
  <w:style w:type="paragraph" w:styleId="Subtitle">
    <w:name w:val="Subtitle"/>
    <w:basedOn w:val="SubTitle0"/>
    <w:next w:val="Normal"/>
    <w:link w:val="SubtitleChar"/>
    <w:uiPriority w:val="11"/>
    <w:semiHidden/>
    <w:qFormat/>
    <w:rsid w:val="00D71FC9"/>
    <w:pPr>
      <w:spacing w:before="1440"/>
      <w:jc w:val="left"/>
    </w:pPr>
  </w:style>
  <w:style w:type="character" w:customStyle="1" w:styleId="SubtitleChar">
    <w:name w:val="Subtitle Char"/>
    <w:basedOn w:val="DefaultParagraphFont"/>
    <w:link w:val="Subtitle"/>
    <w:uiPriority w:val="11"/>
    <w:semiHidden/>
    <w:rsid w:val="00D71FC9"/>
    <w:rPr>
      <w:rFonts w:cs="Arial"/>
      <w:b/>
      <w:bCs/>
      <w:sz w:val="40"/>
      <w:szCs w:val="24"/>
    </w:rPr>
  </w:style>
  <w:style w:type="character" w:customStyle="1" w:styleId="Heading3Char">
    <w:name w:val="Heading 3 Char"/>
    <w:basedOn w:val="DefaultParagraphFont"/>
    <w:link w:val="Heading3"/>
    <w:rsid w:val="00204C57"/>
    <w:rPr>
      <w:rFonts w:cs="Arial"/>
      <w:b/>
      <w:bCs/>
      <w:color w:val="E36C0A" w:themeColor="accent6" w:themeShade="BF"/>
      <w:sz w:val="28"/>
      <w:szCs w:val="28"/>
    </w:rPr>
  </w:style>
  <w:style w:type="paragraph" w:styleId="BlockText">
    <w:name w:val="Block Text"/>
    <w:basedOn w:val="Normal"/>
    <w:link w:val="BlockTextChar"/>
    <w:qFormat/>
    <w:rsid w:val="00C756B9"/>
    <w:rPr>
      <w:rFonts w:eastAsiaTheme="minorEastAsia"/>
      <w:iCs/>
    </w:rPr>
  </w:style>
  <w:style w:type="numbering" w:customStyle="1" w:styleId="NTGStandardList">
    <w:name w:val="NTG Standard List"/>
    <w:basedOn w:val="NoList"/>
    <w:rsid w:val="001A2B7F"/>
    <w:pPr>
      <w:numPr>
        <w:numId w:val="1"/>
      </w:numPr>
    </w:pPr>
  </w:style>
  <w:style w:type="paragraph" w:styleId="Header">
    <w:name w:val="header"/>
    <w:aliases w:val="NTG Page Header"/>
    <w:basedOn w:val="Normal"/>
    <w:next w:val="Normal"/>
    <w:link w:val="HeaderChar"/>
    <w:uiPriority w:val="99"/>
    <w:semiHidden/>
    <w:rsid w:val="007E4A26"/>
    <w:pPr>
      <w:tabs>
        <w:tab w:val="center" w:pos="4513"/>
        <w:tab w:val="right" w:pos="9026"/>
      </w:tabs>
      <w:jc w:val="right"/>
    </w:pPr>
    <w:rPr>
      <w:b/>
    </w:rPr>
  </w:style>
  <w:style w:type="character" w:customStyle="1" w:styleId="HeaderChar">
    <w:name w:val="Header Char"/>
    <w:aliases w:val="NTG Page Header Char"/>
    <w:basedOn w:val="DefaultParagraphFont"/>
    <w:link w:val="Header"/>
    <w:uiPriority w:val="99"/>
    <w:semiHidden/>
    <w:rsid w:val="00FC5A80"/>
    <w:rPr>
      <w:b/>
    </w:rPr>
  </w:style>
  <w:style w:type="paragraph" w:styleId="Footer">
    <w:name w:val="footer"/>
    <w:next w:val="Normal"/>
    <w:link w:val="FooterChar"/>
    <w:uiPriority w:val="99"/>
    <w:semiHidden/>
    <w:rsid w:val="00A24C50"/>
    <w:pPr>
      <w:tabs>
        <w:tab w:val="right" w:pos="9639"/>
        <w:tab w:val="right" w:pos="14459"/>
      </w:tabs>
      <w:ind w:right="-284"/>
    </w:pPr>
    <w:rPr>
      <w:rFonts w:eastAsia="Times New Roman" w:cs="Arial"/>
      <w:noProof/>
      <w:sz w:val="16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C5A80"/>
    <w:rPr>
      <w:rFonts w:eastAsia="Times New Roman" w:cs="Arial"/>
      <w:noProof/>
      <w:sz w:val="1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054B6"/>
    <w:rPr>
      <w:b/>
      <w:color w:val="000000" w:themeColor="text1"/>
    </w:rPr>
  </w:style>
  <w:style w:type="paragraph" w:customStyle="1" w:styleId="SubTitle0">
    <w:name w:val="Sub Title"/>
    <w:basedOn w:val="Normal"/>
    <w:autoRedefine/>
    <w:semiHidden/>
    <w:rsid w:val="003D5DCE"/>
    <w:pPr>
      <w:spacing w:before="4800" w:after="0"/>
      <w:jc w:val="right"/>
    </w:pPr>
    <w:rPr>
      <w:rFonts w:cs="Arial"/>
      <w:b/>
      <w:bCs/>
      <w:sz w:val="40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8054B6"/>
    <w:rPr>
      <w:b/>
      <w:color w:val="606060"/>
    </w:rPr>
  </w:style>
  <w:style w:type="paragraph" w:styleId="BalloonText">
    <w:name w:val="Balloon Text"/>
    <w:basedOn w:val="Normal"/>
    <w:link w:val="BalloonTextChar"/>
    <w:uiPriority w:val="99"/>
    <w:semiHidden/>
    <w:rsid w:val="00293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A8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rsid w:val="00293A72"/>
  </w:style>
  <w:style w:type="character" w:customStyle="1" w:styleId="FactSheetTextChar">
    <w:name w:val="Fact Sheet Text Char"/>
    <w:link w:val="FactSheetText"/>
    <w:semiHidden/>
    <w:rsid w:val="00FC5A80"/>
    <w:rPr>
      <w:color w:val="000000"/>
    </w:rPr>
  </w:style>
  <w:style w:type="paragraph" w:customStyle="1" w:styleId="FactSheetText">
    <w:name w:val="Fact Sheet Text"/>
    <w:basedOn w:val="Normal"/>
    <w:link w:val="FactSheetTextChar"/>
    <w:semiHidden/>
    <w:rsid w:val="00293A72"/>
    <w:pPr>
      <w:spacing w:line="240" w:lineRule="atLeast"/>
    </w:pPr>
    <w:rPr>
      <w:color w:val="000000"/>
    </w:rPr>
  </w:style>
  <w:style w:type="character" w:customStyle="1" w:styleId="Heading4Char">
    <w:name w:val="Heading 4 Char"/>
    <w:basedOn w:val="DefaultParagraphFont"/>
    <w:link w:val="Heading4"/>
    <w:rsid w:val="00204C57"/>
    <w:rPr>
      <w:rFonts w:cs="Arial"/>
      <w:b/>
      <w:bCs/>
      <w:szCs w:val="26"/>
    </w:rPr>
  </w:style>
  <w:style w:type="paragraph" w:styleId="NormalWeb">
    <w:name w:val="Normal (Web)"/>
    <w:basedOn w:val="Normal"/>
    <w:uiPriority w:val="99"/>
    <w:semiHidden/>
    <w:rsid w:val="00342283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420C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C5A80"/>
  </w:style>
  <w:style w:type="paragraph" w:customStyle="1" w:styleId="NTGCoverPageDate">
    <w:name w:val="NTG Cover Page Date"/>
    <w:next w:val="Normal"/>
    <w:rsid w:val="002C6633"/>
    <w:pPr>
      <w:spacing w:before="1400"/>
    </w:pPr>
    <w:rPr>
      <w:rFonts w:eastAsia="Times New Roman"/>
      <w:sz w:val="28"/>
      <w:lang w:eastAsia="en-AU"/>
    </w:rPr>
  </w:style>
  <w:style w:type="paragraph" w:styleId="TOC2">
    <w:name w:val="toc 2"/>
    <w:basedOn w:val="Normal"/>
    <w:next w:val="Normal"/>
    <w:uiPriority w:val="39"/>
    <w:rsid w:val="005E6AF0"/>
    <w:pPr>
      <w:tabs>
        <w:tab w:val="left" w:pos="720"/>
        <w:tab w:val="left" w:pos="1440"/>
        <w:tab w:val="right" w:leader="dot" w:pos="9060"/>
      </w:tabs>
      <w:spacing w:after="0"/>
      <w:ind w:left="720"/>
    </w:pPr>
  </w:style>
  <w:style w:type="paragraph" w:styleId="TOC1">
    <w:name w:val="toc 1"/>
    <w:basedOn w:val="Normal"/>
    <w:next w:val="Normal"/>
    <w:uiPriority w:val="39"/>
    <w:rsid w:val="003C5418"/>
    <w:pPr>
      <w:tabs>
        <w:tab w:val="left" w:pos="720"/>
        <w:tab w:val="right" w:leader="dot" w:pos="9060"/>
      </w:tabs>
      <w:spacing w:before="240" w:after="120"/>
    </w:pPr>
    <w:rPr>
      <w:b/>
      <w:szCs w:val="24"/>
    </w:rPr>
  </w:style>
  <w:style w:type="paragraph" w:styleId="TOC3">
    <w:name w:val="toc 3"/>
    <w:basedOn w:val="Normal"/>
    <w:next w:val="Normal"/>
    <w:uiPriority w:val="39"/>
    <w:rsid w:val="005E6AF0"/>
    <w:pPr>
      <w:tabs>
        <w:tab w:val="left" w:pos="720"/>
        <w:tab w:val="left" w:pos="1440"/>
        <w:tab w:val="right" w:leader="dot" w:pos="9060"/>
      </w:tabs>
      <w:spacing w:after="0"/>
      <w:ind w:left="720"/>
    </w:pPr>
    <w:rPr>
      <w:szCs w:val="24"/>
    </w:rPr>
  </w:style>
  <w:style w:type="paragraph" w:styleId="TOC5">
    <w:name w:val="toc 5"/>
    <w:basedOn w:val="Normal"/>
    <w:next w:val="Normal"/>
    <w:uiPriority w:val="39"/>
    <w:rsid w:val="005E6AF0"/>
    <w:pPr>
      <w:tabs>
        <w:tab w:val="right" w:leader="dot" w:pos="9072"/>
      </w:tabs>
      <w:spacing w:before="240" w:after="120"/>
      <w:ind w:right="284"/>
    </w:pPr>
    <w:rPr>
      <w:b/>
      <w:noProof/>
      <w:szCs w:val="24"/>
    </w:rPr>
  </w:style>
  <w:style w:type="character" w:styleId="Hyperlink">
    <w:name w:val="Hyperlink"/>
    <w:uiPriority w:val="99"/>
    <w:rsid w:val="00354E4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B5C32"/>
    <w:pPr>
      <w:ind w:left="720"/>
      <w:contextualSpacing/>
    </w:pPr>
  </w:style>
  <w:style w:type="paragraph" w:customStyle="1" w:styleId="Appendix">
    <w:name w:val="Appendix"/>
    <w:basedOn w:val="Heading1"/>
    <w:next w:val="Normal"/>
    <w:uiPriority w:val="6"/>
    <w:qFormat/>
    <w:rsid w:val="0056691F"/>
    <w:pPr>
      <w:numPr>
        <w:numId w:val="0"/>
      </w:numPr>
    </w:pPr>
  </w:style>
  <w:style w:type="paragraph" w:styleId="TOC4">
    <w:name w:val="toc 4"/>
    <w:basedOn w:val="Normal"/>
    <w:next w:val="Normal"/>
    <w:autoRedefine/>
    <w:uiPriority w:val="39"/>
    <w:rsid w:val="006279A6"/>
    <w:pPr>
      <w:tabs>
        <w:tab w:val="left" w:pos="720"/>
        <w:tab w:val="left" w:pos="1701"/>
        <w:tab w:val="right" w:leader="dot" w:pos="9072"/>
      </w:tabs>
      <w:spacing w:after="0"/>
      <w:ind w:left="720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1621A8"/>
    <w:rPr>
      <w:color w:val="808080"/>
    </w:rPr>
  </w:style>
  <w:style w:type="paragraph" w:styleId="TOCHeading">
    <w:name w:val="TOC Heading"/>
    <w:basedOn w:val="Heading1"/>
    <w:next w:val="Normal"/>
    <w:uiPriority w:val="39"/>
    <w:rsid w:val="003C5418"/>
    <w:pPr>
      <w:keepLines/>
      <w:numPr>
        <w:numId w:val="0"/>
      </w:numPr>
      <w:spacing w:before="480" w:after="0" w:line="276" w:lineRule="auto"/>
      <w:outlineLvl w:val="9"/>
    </w:pPr>
    <w:rPr>
      <w:kern w:val="0"/>
      <w:szCs w:val="28"/>
      <w:lang w:eastAsia="ja-JP"/>
    </w:rPr>
  </w:style>
  <w:style w:type="numbering" w:customStyle="1" w:styleId="NTGTableNumList">
    <w:name w:val="NTG Table Num List"/>
    <w:uiPriority w:val="99"/>
    <w:rsid w:val="00EB59A5"/>
    <w:pPr>
      <w:numPr>
        <w:numId w:val="9"/>
      </w:numPr>
    </w:pPr>
  </w:style>
  <w:style w:type="table" w:styleId="TableGrid">
    <w:name w:val="Table Grid"/>
    <w:basedOn w:val="TableNormal"/>
    <w:uiPriority w:val="59"/>
    <w:rsid w:val="006A7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TGCoverPageTitle">
    <w:name w:val="NTG Cover Page Title"/>
    <w:basedOn w:val="Normal"/>
    <w:uiPriority w:val="99"/>
    <w:rsid w:val="00404B85"/>
    <w:pPr>
      <w:tabs>
        <w:tab w:val="left" w:pos="2805"/>
      </w:tabs>
      <w:autoSpaceDE w:val="0"/>
      <w:autoSpaceDN w:val="0"/>
      <w:adjustRightInd w:val="0"/>
      <w:spacing w:before="1000" w:line="700" w:lineRule="atLeast"/>
      <w:textAlignment w:val="center"/>
    </w:pPr>
    <w:rPr>
      <w:rFonts w:ascii="Arial Black" w:eastAsiaTheme="minorHAnsi" w:hAnsi="Arial Black" w:cs="Lato Black"/>
      <w:color w:val="CB6015"/>
      <w:sz w:val="66"/>
      <w:szCs w:val="66"/>
      <w:lang w:val="en-GB"/>
    </w:rPr>
  </w:style>
  <w:style w:type="paragraph" w:customStyle="1" w:styleId="Footerspacing">
    <w:name w:val="Footer spacing"/>
    <w:semiHidden/>
    <w:rsid w:val="00404B85"/>
    <w:rPr>
      <w:rFonts w:cs="Arial"/>
      <w:sz w:val="6"/>
      <w:szCs w:val="6"/>
    </w:rPr>
  </w:style>
  <w:style w:type="paragraph" w:customStyle="1" w:styleId="NTGCoverPageVersion">
    <w:name w:val="NTG Cover Page Version"/>
    <w:rsid w:val="007D7E7C"/>
    <w:rPr>
      <w:rFonts w:eastAsia="Times New Roman"/>
      <w:sz w:val="28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8054B6"/>
    <w:rPr>
      <w:b/>
      <w:color w:val="000000" w:themeColor="text1"/>
    </w:rPr>
  </w:style>
  <w:style w:type="paragraph" w:customStyle="1" w:styleId="NTGFooterDateVersion">
    <w:name w:val="NTG Footer Date &amp; Version"/>
    <w:basedOn w:val="Normal"/>
    <w:link w:val="NTGFooterDateVersionChar"/>
    <w:rsid w:val="00B8229A"/>
    <w:pPr>
      <w:widowControl w:val="0"/>
      <w:tabs>
        <w:tab w:val="right" w:pos="9026"/>
      </w:tabs>
    </w:pPr>
    <w:rPr>
      <w:rFonts w:cs="Arial"/>
      <w:sz w:val="16"/>
      <w:szCs w:val="16"/>
    </w:rPr>
  </w:style>
  <w:style w:type="paragraph" w:customStyle="1" w:styleId="NTGFooterPagenumber">
    <w:name w:val="NTG Footer Page number"/>
    <w:basedOn w:val="Normal"/>
    <w:link w:val="NTGFooterPagenumberChar"/>
    <w:rsid w:val="00B8229A"/>
    <w:pPr>
      <w:widowControl w:val="0"/>
      <w:tabs>
        <w:tab w:val="right" w:pos="9026"/>
      </w:tabs>
      <w:spacing w:after="0"/>
    </w:pPr>
    <w:rPr>
      <w:rFonts w:cs="Arial"/>
      <w:sz w:val="16"/>
      <w:szCs w:val="16"/>
    </w:rPr>
  </w:style>
  <w:style w:type="paragraph" w:customStyle="1" w:styleId="NTGFooterDepartmentof">
    <w:name w:val="NTG Footer Department of"/>
    <w:basedOn w:val="Normal"/>
    <w:link w:val="NTGFooterDepartmentofChar"/>
    <w:rsid w:val="002C3C6A"/>
    <w:pPr>
      <w:widowControl w:val="0"/>
      <w:tabs>
        <w:tab w:val="right" w:pos="9026"/>
      </w:tabs>
      <w:spacing w:after="0"/>
    </w:pPr>
    <w:rPr>
      <w:rFonts w:cs="Arial"/>
      <w:caps/>
      <w:sz w:val="16"/>
      <w:szCs w:val="16"/>
    </w:rPr>
  </w:style>
  <w:style w:type="paragraph" w:customStyle="1" w:styleId="NTGFooterDepartmentName">
    <w:name w:val="NTG Footer Department Name"/>
    <w:basedOn w:val="Normal"/>
    <w:link w:val="NTGFooterDepartmentNameChar"/>
    <w:uiPriority w:val="1"/>
    <w:qFormat/>
    <w:rsid w:val="002C3C6A"/>
    <w:pPr>
      <w:widowControl w:val="0"/>
      <w:tabs>
        <w:tab w:val="right" w:pos="9026"/>
      </w:tabs>
      <w:spacing w:after="0"/>
    </w:pPr>
    <w:rPr>
      <w:rFonts w:ascii="Arial Black" w:hAnsi="Arial Black" w:cs="Arial"/>
      <w:caps/>
      <w:sz w:val="16"/>
      <w:szCs w:val="16"/>
    </w:rPr>
  </w:style>
  <w:style w:type="character" w:customStyle="1" w:styleId="NTGFooterDateVersionChar">
    <w:name w:val="NTG Footer Date &amp; Version Char"/>
    <w:basedOn w:val="DefaultParagraphFont"/>
    <w:link w:val="NTGFooterDateVersion"/>
    <w:rsid w:val="00671027"/>
    <w:rPr>
      <w:rFonts w:cs="Arial"/>
      <w:sz w:val="16"/>
      <w:szCs w:val="16"/>
    </w:rPr>
  </w:style>
  <w:style w:type="character" w:customStyle="1" w:styleId="NTGFooterDepartmentofChar">
    <w:name w:val="NTG Footer Department of Char"/>
    <w:basedOn w:val="DefaultParagraphFont"/>
    <w:link w:val="NTGFooterDepartmentof"/>
    <w:rsid w:val="00671027"/>
    <w:rPr>
      <w:rFonts w:cs="Arial"/>
      <w:caps/>
      <w:sz w:val="16"/>
      <w:szCs w:val="16"/>
    </w:rPr>
  </w:style>
  <w:style w:type="character" w:customStyle="1" w:styleId="NTGFooterPagenumberChar">
    <w:name w:val="NTG Footer Page number Char"/>
    <w:basedOn w:val="DefaultParagraphFont"/>
    <w:link w:val="NTGFooterPagenumber"/>
    <w:rsid w:val="00671027"/>
    <w:rPr>
      <w:rFonts w:cs="Arial"/>
      <w:sz w:val="16"/>
      <w:szCs w:val="16"/>
    </w:rPr>
  </w:style>
  <w:style w:type="character" w:customStyle="1" w:styleId="NTGFooterDepartmentNameChar">
    <w:name w:val="NTG Footer Department Name Char"/>
    <w:basedOn w:val="NTGFooterDepartmentofChar"/>
    <w:link w:val="NTGFooterDepartmentName"/>
    <w:uiPriority w:val="1"/>
    <w:rsid w:val="00522C01"/>
    <w:rPr>
      <w:rFonts w:ascii="Arial Black" w:hAnsi="Arial Black" w:cs="Arial"/>
      <w:caps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9A25A1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5A80"/>
    <w:rPr>
      <w:sz w:val="20"/>
    </w:rPr>
  </w:style>
  <w:style w:type="character" w:styleId="FootnoteReference">
    <w:name w:val="footnote reference"/>
    <w:basedOn w:val="DefaultParagraphFont"/>
    <w:uiPriority w:val="99"/>
    <w:semiHidden/>
    <w:rsid w:val="009A25A1"/>
    <w:rPr>
      <w:vertAlign w:val="superscript"/>
    </w:rPr>
  </w:style>
  <w:style w:type="paragraph" w:customStyle="1" w:styleId="NTGTableText">
    <w:name w:val="NTG Table Text"/>
    <w:basedOn w:val="Normal"/>
    <w:qFormat/>
    <w:rsid w:val="00631EB0"/>
    <w:pPr>
      <w:spacing w:after="40"/>
    </w:pPr>
    <w:rPr>
      <w:rFonts w:eastAsia="Times New Roman"/>
      <w:szCs w:val="20"/>
    </w:rPr>
  </w:style>
  <w:style w:type="paragraph" w:customStyle="1" w:styleId="TableListParagraph1">
    <w:name w:val="Table List Paragraph 1"/>
    <w:basedOn w:val="ListParagraph"/>
    <w:semiHidden/>
    <w:qFormat/>
    <w:rsid w:val="00A53808"/>
    <w:pPr>
      <w:numPr>
        <w:numId w:val="5"/>
      </w:numPr>
      <w:spacing w:after="0"/>
      <w:ind w:left="397" w:hanging="227"/>
    </w:pPr>
  </w:style>
  <w:style w:type="paragraph" w:styleId="ListBullet2">
    <w:name w:val="List Bullet 2"/>
    <w:basedOn w:val="Normal"/>
    <w:uiPriority w:val="99"/>
    <w:semiHidden/>
    <w:rsid w:val="00855D46"/>
    <w:pPr>
      <w:numPr>
        <w:numId w:val="3"/>
      </w:numPr>
      <w:contextualSpacing/>
    </w:pPr>
  </w:style>
  <w:style w:type="paragraph" w:styleId="ListBullet">
    <w:name w:val="List Bullet"/>
    <w:basedOn w:val="Normal"/>
    <w:uiPriority w:val="99"/>
    <w:semiHidden/>
    <w:rsid w:val="00855D46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855D46"/>
    <w:pPr>
      <w:numPr>
        <w:numId w:val="4"/>
      </w:numPr>
      <w:contextualSpacing/>
    </w:pPr>
  </w:style>
  <w:style w:type="table" w:customStyle="1" w:styleId="NTGTable">
    <w:name w:val="NTG Table"/>
    <w:basedOn w:val="TableTheme"/>
    <w:uiPriority w:val="99"/>
    <w:rsid w:val="006C391B"/>
    <w:tblPr>
      <w:tblInd w:w="113" w:type="dxa"/>
    </w:tbl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Arial" w:hAnsi="Arial"/>
        <w:b/>
        <w:sz w:val="22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  <w:vAlign w:val="center"/>
      </w:tcPr>
    </w:tblStylePr>
  </w:style>
  <w:style w:type="paragraph" w:customStyle="1" w:styleId="TableListParagraph2">
    <w:name w:val="Table List Paragraph 2"/>
    <w:basedOn w:val="TableListParagraph1"/>
    <w:semiHidden/>
    <w:qFormat/>
    <w:rsid w:val="008F3628"/>
    <w:pPr>
      <w:numPr>
        <w:numId w:val="6"/>
      </w:numPr>
      <w:ind w:left="567" w:hanging="227"/>
    </w:pPr>
  </w:style>
  <w:style w:type="character" w:customStyle="1" w:styleId="Heading8Char">
    <w:name w:val="Heading 8 Char"/>
    <w:basedOn w:val="DefaultParagraphFont"/>
    <w:link w:val="Heading8"/>
    <w:uiPriority w:val="9"/>
    <w:rsid w:val="008054B6"/>
    <w:rPr>
      <w:b/>
      <w:color w:val="606060"/>
    </w:rPr>
  </w:style>
  <w:style w:type="table" w:styleId="TableTheme">
    <w:name w:val="Table Theme"/>
    <w:basedOn w:val="TableNormal"/>
    <w:uiPriority w:val="99"/>
    <w:semiHidden/>
    <w:unhideWhenUsed/>
    <w:rsid w:val="000A0C61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9Char">
    <w:name w:val="Heading 9 Char"/>
    <w:basedOn w:val="DefaultParagraphFont"/>
    <w:link w:val="Heading9"/>
    <w:uiPriority w:val="9"/>
    <w:rsid w:val="008054B6"/>
    <w:rPr>
      <w:b/>
      <w:color w:val="000000" w:themeColor="text1"/>
    </w:rPr>
  </w:style>
  <w:style w:type="numbering" w:customStyle="1" w:styleId="Style2">
    <w:name w:val="Style2"/>
    <w:uiPriority w:val="99"/>
    <w:rsid w:val="007B5415"/>
    <w:pPr>
      <w:numPr>
        <w:numId w:val="7"/>
      </w:numPr>
    </w:pPr>
  </w:style>
  <w:style w:type="numbering" w:customStyle="1" w:styleId="NTGTableList">
    <w:name w:val="NTG Table List"/>
    <w:uiPriority w:val="99"/>
    <w:rsid w:val="00D019B6"/>
    <w:pPr>
      <w:numPr>
        <w:numId w:val="8"/>
      </w:numPr>
    </w:pPr>
  </w:style>
  <w:style w:type="character" w:customStyle="1" w:styleId="ListParagraphChar">
    <w:name w:val="List Paragraph Char"/>
    <w:basedOn w:val="DefaultParagraphFont"/>
    <w:link w:val="ListParagraph"/>
    <w:uiPriority w:val="1"/>
    <w:rsid w:val="00522C01"/>
  </w:style>
  <w:style w:type="character" w:customStyle="1" w:styleId="BlockTextChar">
    <w:name w:val="Block Text Char"/>
    <w:basedOn w:val="DefaultParagraphFont"/>
    <w:link w:val="BlockText"/>
    <w:locked/>
    <w:rsid w:val="000D3600"/>
    <w:rPr>
      <w:rFonts w:eastAsiaTheme="minorEastAsia"/>
      <w:iCs/>
    </w:rPr>
  </w:style>
  <w:style w:type="character" w:customStyle="1" w:styleId="NumberedParaChar">
    <w:name w:val="Numbered Para Char"/>
    <w:basedOn w:val="BlockTextChar"/>
    <w:link w:val="NumberedPara"/>
    <w:locked/>
    <w:rsid w:val="00356F18"/>
    <w:rPr>
      <w:rFonts w:eastAsiaTheme="minorEastAsia"/>
      <w:iCs w:val="0"/>
    </w:rPr>
  </w:style>
  <w:style w:type="paragraph" w:customStyle="1" w:styleId="NumberedPara">
    <w:name w:val="Numbered Para"/>
    <w:basedOn w:val="ListParagraph"/>
    <w:link w:val="NumberedParaChar"/>
    <w:autoRedefine/>
    <w:qFormat/>
    <w:rsid w:val="00356F18"/>
    <w:pPr>
      <w:numPr>
        <w:numId w:val="11"/>
      </w:numPr>
      <w:contextualSpacing w:val="0"/>
    </w:pPr>
  </w:style>
  <w:style w:type="character" w:customStyle="1" w:styleId="BulletStyleChar">
    <w:name w:val="Bullet Style Char"/>
    <w:basedOn w:val="DefaultParagraphFont"/>
    <w:link w:val="BulletStyle"/>
    <w:locked/>
    <w:rsid w:val="00132F92"/>
    <w:rPr>
      <w:rFonts w:eastAsiaTheme="minorEastAsia" w:cs="Arial"/>
      <w:iCs/>
      <w:lang w:eastAsia="en-AU"/>
    </w:rPr>
  </w:style>
  <w:style w:type="paragraph" w:customStyle="1" w:styleId="BulletStyle">
    <w:name w:val="Bullet Style"/>
    <w:basedOn w:val="BlockText"/>
    <w:next w:val="Normal"/>
    <w:link w:val="BulletStyleChar"/>
    <w:qFormat/>
    <w:rsid w:val="00132F92"/>
    <w:pPr>
      <w:spacing w:after="120"/>
      <w:ind w:left="1573" w:hanging="360"/>
    </w:pPr>
    <w:rPr>
      <w:rFonts w:cs="Arial"/>
      <w:lang w:eastAsia="en-AU"/>
    </w:rPr>
  </w:style>
  <w:style w:type="paragraph" w:customStyle="1" w:styleId="RuleStatement">
    <w:name w:val="Rule Statement"/>
    <w:basedOn w:val="Heading4"/>
    <w:link w:val="RuleStatementChar"/>
    <w:qFormat/>
    <w:rsid w:val="007E20B5"/>
    <w:pPr>
      <w:pBdr>
        <w:left w:val="single" w:sz="4" w:space="8" w:color="auto"/>
        <w:right w:val="single" w:sz="4" w:space="8" w:color="auto"/>
      </w:pBdr>
      <w:tabs>
        <w:tab w:val="left" w:pos="1134"/>
      </w:tabs>
      <w:spacing w:before="200"/>
      <w:outlineLvl w:val="9"/>
    </w:pPr>
    <w:rPr>
      <w:color w:val="000000"/>
      <w14:textFill>
        <w14:solidFill>
          <w14:srgbClr w14:val="000000">
            <w14:lumMod w14:val="75000"/>
          </w14:srgbClr>
        </w14:solidFill>
      </w14:textFill>
    </w:rPr>
  </w:style>
  <w:style w:type="character" w:customStyle="1" w:styleId="RuleStatementChar">
    <w:name w:val="Rule Statement Char"/>
    <w:basedOn w:val="Heading3Char"/>
    <w:link w:val="RuleStatement"/>
    <w:rsid w:val="007E20B5"/>
    <w:rPr>
      <w:rFonts w:cs="Arial"/>
      <w:b/>
      <w:bCs/>
      <w:color w:val="000000"/>
      <w:sz w:val="28"/>
      <w:szCs w:val="26"/>
      <w14:textFill>
        <w14:solidFill>
          <w14:srgbClr w14:val="000000">
            <w14:lumMod w14:val="75000"/>
          </w14:srgbClr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rsid w:val="00FB62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B62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2B0"/>
    <w:rPr>
      <w:sz w:val="20"/>
      <w:szCs w:val="20"/>
    </w:rPr>
  </w:style>
  <w:style w:type="paragraph" w:customStyle="1" w:styleId="StyleHeading4BottomSinglesolidlineAuto05ptLinewi">
    <w:name w:val="Style Heading 4 + Bottom: (Single solid line Auto  0.5 pt Line wi..."/>
    <w:basedOn w:val="Heading4"/>
    <w:rsid w:val="00C62B89"/>
    <w:pPr>
      <w:pBdr>
        <w:top w:val="single" w:sz="4" w:space="6" w:color="auto"/>
        <w:bottom w:val="single" w:sz="4" w:space="6" w:color="auto"/>
      </w:pBdr>
    </w:pPr>
    <w:rPr>
      <w:rFonts w:eastAsia="Times New Roman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054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542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778CF"/>
  </w:style>
  <w:style w:type="paragraph" w:customStyle="1" w:styleId="Rule4">
    <w:name w:val="Rule 4"/>
    <w:basedOn w:val="Heading4"/>
    <w:link w:val="Rule4Char"/>
    <w:rsid w:val="002369CD"/>
  </w:style>
  <w:style w:type="character" w:customStyle="1" w:styleId="Rule4Char">
    <w:name w:val="Rule 4 Char"/>
    <w:basedOn w:val="Heading4Char"/>
    <w:link w:val="Rule4"/>
    <w:rsid w:val="002369CD"/>
    <w:rPr>
      <w:rFonts w:cs="Arial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TeleHealthHelpdesk.THS@nt.gov.a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Digital.Policy@nt.gov.au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igital.Policy@nt.gov.au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NTGVC.Management@nt.gov.a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do\AppData\Local\Microsoft\Windows\Temporary%20Internet%20Files\Content.Outlook\9DL9TTC7\Policy_Policy%20FrameworkTemplate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39FFD618A1D4CAB88F9CD04A9504F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6FB32-7A79-477F-A418-BAC1CB713B1B}"/>
      </w:docPartPr>
      <w:docPartBody>
        <w:p w:rsidR="00960A6B" w:rsidRDefault="00960A6B">
          <w:pPr>
            <w:pStyle w:val="939FFD618A1D4CAB88F9CD04A9504FF2"/>
          </w:pPr>
          <w:r w:rsidRPr="000C7A65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A6B"/>
    <w:rsid w:val="006E2800"/>
    <w:rsid w:val="0096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39FFD618A1D4CAB88F9CD04A9504FF2">
    <w:name w:val="939FFD618A1D4CAB88F9CD04A9504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96488-F7A7-4FC7-96D4-56F9D8A6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Policy_Policy FrameworkTemplate (2)</Template>
  <TotalTime>1</TotalTime>
  <Pages>6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Video Conferencing</vt:lpstr>
    </vt:vector>
  </TitlesOfParts>
  <Company>Northern Territory Government</Company>
  <LinksUpToDate>false</LinksUpToDate>
  <CharactersWithSpaces>8113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Conferencing</dc:title>
  <dc:creator>Office of Digital Government</dc:creator>
  <cp:lastModifiedBy>Fiona Easton</cp:lastModifiedBy>
  <cp:revision>3</cp:revision>
  <cp:lastPrinted>2017-11-03T06:05:00Z</cp:lastPrinted>
  <dcterms:created xsi:type="dcterms:W3CDTF">2017-11-03T06:04:00Z</dcterms:created>
  <dcterms:modified xsi:type="dcterms:W3CDTF">2017-11-03T06:05:00Z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Date">
    <vt:lpwstr>26 October 2017</vt:lpwstr>
  </property>
  <property fmtid="{D5CDD505-2E9C-101B-9397-08002B2CF9AE}" pid="3" name="VersionNo">
    <vt:lpwstr>2.0</vt:lpwstr>
  </property>
  <property fmtid="{D5CDD505-2E9C-101B-9397-08002B2CF9AE}" pid="4" name="DocumentAuthor">
    <vt:lpwstr>Office of Digital Government</vt:lpwstr>
  </property>
  <property fmtid="{D5CDD505-2E9C-101B-9397-08002B2CF9AE}" pid="5" name="DepartmentName">
    <vt:lpwstr>Corporate and Information Services</vt:lpwstr>
  </property>
  <property fmtid="{D5CDD505-2E9C-101B-9397-08002B2CF9AE}" pid="6" name="DepartmentOf">
    <vt:lpwstr>Department of</vt:lpwstr>
  </property>
</Properties>
</file>