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800" w:rsidRDefault="00B43C6B" w:rsidP="00806800">
      <w:pPr>
        <w:pStyle w:val="NTGCoverPageTitle"/>
        <w:rPr>
          <w:lang w:val="en-AU"/>
        </w:rPr>
      </w:pPr>
      <w:sdt>
        <w:sdtPr>
          <w:rPr>
            <w:lang w:val="en-AU"/>
          </w:rPr>
          <w:alias w:val="Title"/>
          <w:tag w:val=""/>
          <w:id w:val="-509987125"/>
          <w:placeholder>
            <w:docPart w:val="939FFD618A1D4CAB88F9CD04A9504FF2"/>
          </w:placeholder>
          <w:dataBinding w:prefixMappings="xmlns:ns0='http://purl.org/dc/elements/1.1/' xmlns:ns1='http://schemas.openxmlformats.org/package/2006/metadata/core-properties' " w:xpath="/ns1:coreProperties[1]/ns0:title[1]" w:storeItemID="{6C3C8BC8-F283-45AE-878A-BAB7291924A1}"/>
          <w:text/>
        </w:sdtPr>
        <w:sdtContent>
          <w:r w:rsidR="004758D5">
            <w:rPr>
              <w:lang w:val="en-AU"/>
            </w:rPr>
            <w:t>Cloud c</w:t>
          </w:r>
          <w:r w:rsidR="00D13847">
            <w:rPr>
              <w:lang w:val="en-AU"/>
            </w:rPr>
            <w:t>omputing</w:t>
          </w:r>
        </w:sdtContent>
      </w:sdt>
    </w:p>
    <w:p w:rsidR="002A3095" w:rsidRDefault="002A3095" w:rsidP="002A3095">
      <w:pPr>
        <w:pStyle w:val="Subtitle"/>
      </w:pPr>
      <w:r>
        <w:t>Agencies are to use computing solutions that best meet business requirements having due regard to:</w:t>
      </w:r>
    </w:p>
    <w:p w:rsidR="002A3095" w:rsidRDefault="002A3095" w:rsidP="006307BC">
      <w:pPr>
        <w:pStyle w:val="Subtitle"/>
        <w:numPr>
          <w:ilvl w:val="0"/>
          <w:numId w:val="13"/>
        </w:numPr>
        <w:spacing w:before="120"/>
        <w:ind w:left="567" w:hanging="567"/>
      </w:pPr>
      <w:proofErr w:type="gramStart"/>
      <w:r>
        <w:t>benefits</w:t>
      </w:r>
      <w:proofErr w:type="gramEnd"/>
      <w:r>
        <w:t xml:space="preserve"> and value</w:t>
      </w:r>
    </w:p>
    <w:p w:rsidR="002A3095" w:rsidRDefault="002A3095" w:rsidP="006307BC">
      <w:pPr>
        <w:pStyle w:val="Subtitle"/>
        <w:numPr>
          <w:ilvl w:val="0"/>
          <w:numId w:val="13"/>
        </w:numPr>
        <w:spacing w:before="120"/>
        <w:ind w:left="567" w:hanging="567"/>
      </w:pPr>
      <w:proofErr w:type="gramStart"/>
      <w:r>
        <w:t>risks</w:t>
      </w:r>
      <w:proofErr w:type="gramEnd"/>
      <w:r>
        <w:t xml:space="preserve"> and mitigations</w:t>
      </w:r>
    </w:p>
    <w:p w:rsidR="002A3095" w:rsidRPr="00F778CF" w:rsidRDefault="002A3095" w:rsidP="006307BC">
      <w:pPr>
        <w:pStyle w:val="Subtitle"/>
        <w:numPr>
          <w:ilvl w:val="0"/>
          <w:numId w:val="13"/>
        </w:numPr>
        <w:spacing w:before="120"/>
        <w:ind w:left="567" w:hanging="567"/>
      </w:pPr>
      <w:proofErr w:type="gramStart"/>
      <w:r>
        <w:t>protections</w:t>
      </w:r>
      <w:proofErr w:type="gramEnd"/>
      <w:r>
        <w:t xml:space="preserve"> and controls</w:t>
      </w:r>
      <w:r w:rsidR="00B70CA7">
        <w:t>.</w:t>
      </w:r>
    </w:p>
    <w:p w:rsidR="00705033" w:rsidRDefault="00B43C6B" w:rsidP="002C03E9">
      <w:pPr>
        <w:pStyle w:val="NTGCoverPageDate"/>
        <w:tabs>
          <w:tab w:val="left" w:pos="3163"/>
        </w:tabs>
      </w:pPr>
      <w:fldSimple w:instr=" DOCPROPERTY  DocumentDate  \* MERGEFORMAT ">
        <w:r>
          <w:t>18 September 2017</w:t>
        </w:r>
      </w:fldSimple>
    </w:p>
    <w:p w:rsidR="00074240" w:rsidRPr="002E3B83" w:rsidRDefault="005D269A" w:rsidP="00F778CF">
      <w:pPr>
        <w:pStyle w:val="NTGCoverPageVersion"/>
        <w:rPr>
          <w:rFonts w:eastAsiaTheme="majorEastAsia"/>
        </w:rPr>
      </w:pPr>
      <w:r>
        <w:rPr>
          <w:rFonts w:eastAsiaTheme="majorEastAsia"/>
        </w:rPr>
        <w:t>Version </w:t>
      </w:r>
      <w:r w:rsidR="00D13847">
        <w:rPr>
          <w:rFonts w:eastAsiaTheme="majorEastAsia"/>
        </w:rPr>
        <w:t>2</w:t>
      </w:r>
      <w:r w:rsidR="00074240">
        <w:rPr>
          <w:rFonts w:eastAsiaTheme="majorEastAsia"/>
        </w:rPr>
        <w:t>.</w:t>
      </w:r>
      <w:r w:rsidR="00227ADC">
        <w:rPr>
          <w:rFonts w:eastAsiaTheme="majorEastAsia"/>
        </w:rPr>
        <w:t>1</w:t>
      </w:r>
    </w:p>
    <w:p w:rsidR="00634329" w:rsidRPr="00074240" w:rsidRDefault="00634329" w:rsidP="00074240">
      <w:pPr>
        <w:tabs>
          <w:tab w:val="left" w:pos="7875"/>
        </w:tabs>
        <w:sectPr w:rsidR="00634329" w:rsidRPr="00074240" w:rsidSect="000D3600">
          <w:headerReference w:type="default" r:id="rId8"/>
          <w:footerReference w:type="default" r:id="rId9"/>
          <w:headerReference w:type="first" r:id="rId10"/>
          <w:footerReference w:type="first" r:id="rId11"/>
          <w:pgSz w:w="11906" w:h="16838" w:code="9"/>
          <w:pgMar w:top="3119" w:right="1134" w:bottom="1701" w:left="1134" w:header="709" w:footer="0" w:gutter="0"/>
          <w:cols w:space="708"/>
          <w:titlePg/>
          <w:docGrid w:linePitch="360"/>
        </w:sectPr>
      </w:pPr>
    </w:p>
    <w:sdt>
      <w:sdtPr>
        <w:rPr>
          <w:rFonts w:eastAsia="Times New Roman" w:cs="Times New Roman"/>
          <w:b w:val="0"/>
          <w:bCs w:val="0"/>
          <w:sz w:val="22"/>
          <w:szCs w:val="32"/>
          <w:lang w:eastAsia="en-AU"/>
        </w:rPr>
        <w:id w:val="-88318220"/>
        <w:docPartObj>
          <w:docPartGallery w:val="Table of Contents"/>
          <w:docPartUnique/>
        </w:docPartObj>
      </w:sdtPr>
      <w:sdtEndPr>
        <w:rPr>
          <w:rFonts w:eastAsia="Calibri"/>
          <w:b/>
          <w:noProof/>
          <w:szCs w:val="24"/>
          <w:lang w:eastAsia="en-US"/>
        </w:rPr>
      </w:sdtEndPr>
      <w:sdtContent>
        <w:p w:rsidR="003758FE" w:rsidRPr="002E3B83" w:rsidRDefault="003758FE" w:rsidP="002B5FF8">
          <w:pPr>
            <w:pStyle w:val="TOCHeading"/>
          </w:pPr>
          <w:r w:rsidRPr="002E3B83">
            <w:t>Contents</w:t>
          </w:r>
        </w:p>
        <w:p w:rsidR="006A3701" w:rsidRDefault="003758FE">
          <w:pPr>
            <w:pStyle w:val="TOC1"/>
            <w:rPr>
              <w:rFonts w:asciiTheme="minorHAnsi" w:eastAsiaTheme="minorEastAsia" w:hAnsiTheme="minorHAnsi" w:cstheme="minorBidi"/>
              <w:b w:val="0"/>
              <w:noProof/>
              <w:szCs w:val="22"/>
              <w:lang w:eastAsia="en-AU"/>
            </w:rPr>
          </w:pPr>
          <w:r w:rsidRPr="002E3B83">
            <w:fldChar w:fldCharType="begin"/>
          </w:r>
          <w:r w:rsidRPr="002E3B83">
            <w:instrText xml:space="preserve"> TOC \o "1-</w:instrText>
          </w:r>
          <w:r w:rsidR="00C04CB9">
            <w:instrText>2</w:instrText>
          </w:r>
          <w:r w:rsidRPr="002E3B83">
            <w:instrText xml:space="preserve">" \h \z \u </w:instrText>
          </w:r>
          <w:r w:rsidRPr="002E3B83">
            <w:fldChar w:fldCharType="separate"/>
          </w:r>
          <w:hyperlink w:anchor="_Toc489364376" w:history="1">
            <w:r w:rsidR="006A3701" w:rsidRPr="00E80E40">
              <w:rPr>
                <w:rStyle w:val="Hyperlink"/>
                <w:noProof/>
              </w:rPr>
              <w:t>1</w:t>
            </w:r>
            <w:r w:rsidR="006A3701">
              <w:rPr>
                <w:rFonts w:asciiTheme="minorHAnsi" w:eastAsiaTheme="minorEastAsia" w:hAnsiTheme="minorHAnsi" w:cstheme="minorBidi"/>
                <w:b w:val="0"/>
                <w:noProof/>
                <w:szCs w:val="22"/>
                <w:lang w:eastAsia="en-AU"/>
              </w:rPr>
              <w:tab/>
            </w:r>
            <w:r w:rsidR="006A3701" w:rsidRPr="00E80E40">
              <w:rPr>
                <w:rStyle w:val="Hyperlink"/>
                <w:noProof/>
              </w:rPr>
              <w:t>Policy statement</w:t>
            </w:r>
            <w:r w:rsidR="006A3701">
              <w:rPr>
                <w:noProof/>
                <w:webHidden/>
              </w:rPr>
              <w:tab/>
            </w:r>
            <w:r w:rsidR="006A3701">
              <w:rPr>
                <w:noProof/>
                <w:webHidden/>
              </w:rPr>
              <w:fldChar w:fldCharType="begin"/>
            </w:r>
            <w:r w:rsidR="006A3701">
              <w:rPr>
                <w:noProof/>
                <w:webHidden/>
              </w:rPr>
              <w:instrText xml:space="preserve"> PAGEREF _Toc489364376 \h </w:instrText>
            </w:r>
            <w:r w:rsidR="006A3701">
              <w:rPr>
                <w:noProof/>
                <w:webHidden/>
              </w:rPr>
            </w:r>
            <w:r w:rsidR="006A3701">
              <w:rPr>
                <w:noProof/>
                <w:webHidden/>
              </w:rPr>
              <w:fldChar w:fldCharType="separate"/>
            </w:r>
            <w:r w:rsidR="0019248E">
              <w:rPr>
                <w:noProof/>
                <w:webHidden/>
              </w:rPr>
              <w:t>4</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377" w:history="1">
            <w:r w:rsidR="006A3701" w:rsidRPr="00E80E40">
              <w:rPr>
                <w:rStyle w:val="Hyperlink"/>
                <w:noProof/>
              </w:rPr>
              <w:t>2</w:t>
            </w:r>
            <w:r w:rsidR="006A3701">
              <w:rPr>
                <w:rFonts w:asciiTheme="minorHAnsi" w:eastAsiaTheme="minorEastAsia" w:hAnsiTheme="minorHAnsi" w:cstheme="minorBidi"/>
                <w:b w:val="0"/>
                <w:noProof/>
                <w:szCs w:val="22"/>
                <w:lang w:eastAsia="en-AU"/>
              </w:rPr>
              <w:tab/>
            </w:r>
            <w:r w:rsidR="006A3701" w:rsidRPr="00E80E40">
              <w:rPr>
                <w:rStyle w:val="Hyperlink"/>
                <w:noProof/>
              </w:rPr>
              <w:t>Purpose</w:t>
            </w:r>
            <w:r w:rsidR="006A3701">
              <w:rPr>
                <w:noProof/>
                <w:webHidden/>
              </w:rPr>
              <w:tab/>
            </w:r>
            <w:r w:rsidR="006A3701">
              <w:rPr>
                <w:noProof/>
                <w:webHidden/>
              </w:rPr>
              <w:fldChar w:fldCharType="begin"/>
            </w:r>
            <w:r w:rsidR="006A3701">
              <w:rPr>
                <w:noProof/>
                <w:webHidden/>
              </w:rPr>
              <w:instrText xml:space="preserve"> PAGEREF _Toc489364377 \h </w:instrText>
            </w:r>
            <w:r w:rsidR="006A3701">
              <w:rPr>
                <w:noProof/>
                <w:webHidden/>
              </w:rPr>
            </w:r>
            <w:r w:rsidR="006A3701">
              <w:rPr>
                <w:noProof/>
                <w:webHidden/>
              </w:rPr>
              <w:fldChar w:fldCharType="separate"/>
            </w:r>
            <w:r w:rsidR="0019248E">
              <w:rPr>
                <w:noProof/>
                <w:webHidden/>
              </w:rPr>
              <w:t>4</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378" w:history="1">
            <w:r w:rsidR="006A3701" w:rsidRPr="00E80E40">
              <w:rPr>
                <w:rStyle w:val="Hyperlink"/>
                <w:noProof/>
              </w:rPr>
              <w:t>3</w:t>
            </w:r>
            <w:r w:rsidR="006A3701">
              <w:rPr>
                <w:rFonts w:asciiTheme="minorHAnsi" w:eastAsiaTheme="minorEastAsia" w:hAnsiTheme="minorHAnsi" w:cstheme="minorBidi"/>
                <w:b w:val="0"/>
                <w:noProof/>
                <w:szCs w:val="22"/>
                <w:lang w:eastAsia="en-AU"/>
              </w:rPr>
              <w:tab/>
            </w:r>
            <w:r w:rsidR="006A3701" w:rsidRPr="00E80E40">
              <w:rPr>
                <w:rStyle w:val="Hyperlink"/>
                <w:noProof/>
              </w:rPr>
              <w:t>Definitions</w:t>
            </w:r>
            <w:r w:rsidR="006A3701">
              <w:rPr>
                <w:noProof/>
                <w:webHidden/>
              </w:rPr>
              <w:tab/>
            </w:r>
            <w:r w:rsidR="006A3701">
              <w:rPr>
                <w:noProof/>
                <w:webHidden/>
              </w:rPr>
              <w:fldChar w:fldCharType="begin"/>
            </w:r>
            <w:r w:rsidR="006A3701">
              <w:rPr>
                <w:noProof/>
                <w:webHidden/>
              </w:rPr>
              <w:instrText xml:space="preserve"> PAGEREF _Toc489364378 \h </w:instrText>
            </w:r>
            <w:r w:rsidR="006A3701">
              <w:rPr>
                <w:noProof/>
                <w:webHidden/>
              </w:rPr>
            </w:r>
            <w:r w:rsidR="006A3701">
              <w:rPr>
                <w:noProof/>
                <w:webHidden/>
              </w:rPr>
              <w:fldChar w:fldCharType="separate"/>
            </w:r>
            <w:r w:rsidR="0019248E">
              <w:rPr>
                <w:noProof/>
                <w:webHidden/>
              </w:rPr>
              <w:t>4</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79" w:history="1">
            <w:r w:rsidR="006A3701" w:rsidRPr="00E80E40">
              <w:rPr>
                <w:rStyle w:val="Hyperlink"/>
                <w:noProof/>
              </w:rPr>
              <w:t>3.1</w:t>
            </w:r>
            <w:r w:rsidR="006A3701">
              <w:rPr>
                <w:rFonts w:asciiTheme="minorHAnsi" w:eastAsiaTheme="minorEastAsia" w:hAnsiTheme="minorHAnsi" w:cstheme="minorBidi"/>
                <w:noProof/>
                <w:lang w:eastAsia="en-AU"/>
              </w:rPr>
              <w:tab/>
            </w:r>
            <w:r w:rsidR="006A3701" w:rsidRPr="00E80E40">
              <w:rPr>
                <w:rStyle w:val="Hyperlink"/>
                <w:noProof/>
              </w:rPr>
              <w:t>Cloud computing</w:t>
            </w:r>
            <w:r w:rsidR="006A3701">
              <w:rPr>
                <w:noProof/>
                <w:webHidden/>
              </w:rPr>
              <w:tab/>
            </w:r>
            <w:r w:rsidR="006A3701">
              <w:rPr>
                <w:noProof/>
                <w:webHidden/>
              </w:rPr>
              <w:fldChar w:fldCharType="begin"/>
            </w:r>
            <w:r w:rsidR="006A3701">
              <w:rPr>
                <w:noProof/>
                <w:webHidden/>
              </w:rPr>
              <w:instrText xml:space="preserve"> PAGEREF _Toc489364379 \h </w:instrText>
            </w:r>
            <w:r w:rsidR="006A3701">
              <w:rPr>
                <w:noProof/>
                <w:webHidden/>
              </w:rPr>
            </w:r>
            <w:r w:rsidR="006A3701">
              <w:rPr>
                <w:noProof/>
                <w:webHidden/>
              </w:rPr>
              <w:fldChar w:fldCharType="separate"/>
            </w:r>
            <w:r w:rsidR="0019248E">
              <w:rPr>
                <w:noProof/>
                <w:webHidden/>
              </w:rPr>
              <w:t>4</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80" w:history="1">
            <w:r w:rsidR="006A3701" w:rsidRPr="00E80E40">
              <w:rPr>
                <w:rStyle w:val="Hyperlink"/>
                <w:noProof/>
              </w:rPr>
              <w:t>3.2</w:t>
            </w:r>
            <w:r w:rsidR="006A3701">
              <w:rPr>
                <w:rFonts w:asciiTheme="minorHAnsi" w:eastAsiaTheme="minorEastAsia" w:hAnsiTheme="minorHAnsi" w:cstheme="minorBidi"/>
                <w:noProof/>
                <w:lang w:eastAsia="en-AU"/>
              </w:rPr>
              <w:tab/>
            </w:r>
            <w:r w:rsidR="006A3701" w:rsidRPr="00E80E40">
              <w:rPr>
                <w:rStyle w:val="Hyperlink"/>
                <w:noProof/>
              </w:rPr>
              <w:t>External cloud service</w:t>
            </w:r>
            <w:r w:rsidR="006A3701">
              <w:rPr>
                <w:noProof/>
                <w:webHidden/>
              </w:rPr>
              <w:tab/>
            </w:r>
            <w:r w:rsidR="006A3701">
              <w:rPr>
                <w:noProof/>
                <w:webHidden/>
              </w:rPr>
              <w:fldChar w:fldCharType="begin"/>
            </w:r>
            <w:r w:rsidR="006A3701">
              <w:rPr>
                <w:noProof/>
                <w:webHidden/>
              </w:rPr>
              <w:instrText xml:space="preserve"> PAGEREF _Toc489364380 \h </w:instrText>
            </w:r>
            <w:r w:rsidR="006A3701">
              <w:rPr>
                <w:noProof/>
                <w:webHidden/>
              </w:rPr>
            </w:r>
            <w:r w:rsidR="006A3701">
              <w:rPr>
                <w:noProof/>
                <w:webHidden/>
              </w:rPr>
              <w:fldChar w:fldCharType="separate"/>
            </w:r>
            <w:r w:rsidR="0019248E">
              <w:rPr>
                <w:noProof/>
                <w:webHidden/>
              </w:rPr>
              <w:t>5</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81" w:history="1">
            <w:r w:rsidR="006A3701" w:rsidRPr="00E80E40">
              <w:rPr>
                <w:rStyle w:val="Hyperlink"/>
                <w:noProof/>
              </w:rPr>
              <w:t>3.3</w:t>
            </w:r>
            <w:r w:rsidR="006A3701">
              <w:rPr>
                <w:rFonts w:asciiTheme="minorHAnsi" w:eastAsiaTheme="minorEastAsia" w:hAnsiTheme="minorHAnsi" w:cstheme="minorBidi"/>
                <w:noProof/>
                <w:lang w:eastAsia="en-AU"/>
              </w:rPr>
              <w:tab/>
            </w:r>
            <w:r w:rsidR="006A3701" w:rsidRPr="00E80E40">
              <w:rPr>
                <w:rStyle w:val="Hyperlink"/>
                <w:noProof/>
              </w:rPr>
              <w:t>NTG cloud service</w:t>
            </w:r>
            <w:r w:rsidR="006A3701">
              <w:rPr>
                <w:noProof/>
                <w:webHidden/>
              </w:rPr>
              <w:tab/>
            </w:r>
            <w:r w:rsidR="006A3701">
              <w:rPr>
                <w:noProof/>
                <w:webHidden/>
              </w:rPr>
              <w:fldChar w:fldCharType="begin"/>
            </w:r>
            <w:r w:rsidR="006A3701">
              <w:rPr>
                <w:noProof/>
                <w:webHidden/>
              </w:rPr>
              <w:instrText xml:space="preserve"> PAGEREF _Toc489364381 \h </w:instrText>
            </w:r>
            <w:r w:rsidR="006A3701">
              <w:rPr>
                <w:noProof/>
                <w:webHidden/>
              </w:rPr>
            </w:r>
            <w:r w:rsidR="006A3701">
              <w:rPr>
                <w:noProof/>
                <w:webHidden/>
              </w:rPr>
              <w:fldChar w:fldCharType="separate"/>
            </w:r>
            <w:r w:rsidR="0019248E">
              <w:rPr>
                <w:noProof/>
                <w:webHidden/>
              </w:rPr>
              <w:t>5</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382" w:history="1">
            <w:r w:rsidR="006A3701" w:rsidRPr="00E80E40">
              <w:rPr>
                <w:rStyle w:val="Hyperlink"/>
                <w:noProof/>
              </w:rPr>
              <w:t>4</w:t>
            </w:r>
            <w:r w:rsidR="006A3701">
              <w:rPr>
                <w:rFonts w:asciiTheme="minorHAnsi" w:eastAsiaTheme="minorEastAsia" w:hAnsiTheme="minorHAnsi" w:cstheme="minorBidi"/>
                <w:b w:val="0"/>
                <w:noProof/>
                <w:szCs w:val="22"/>
                <w:lang w:eastAsia="en-AU"/>
              </w:rPr>
              <w:tab/>
            </w:r>
            <w:r w:rsidR="006A3701" w:rsidRPr="00E80E40">
              <w:rPr>
                <w:rStyle w:val="Hyperlink"/>
                <w:noProof/>
              </w:rPr>
              <w:t>Assessment of cloud computing services</w:t>
            </w:r>
            <w:r w:rsidR="006A3701">
              <w:rPr>
                <w:noProof/>
                <w:webHidden/>
              </w:rPr>
              <w:tab/>
            </w:r>
            <w:r w:rsidR="006A3701">
              <w:rPr>
                <w:noProof/>
                <w:webHidden/>
              </w:rPr>
              <w:fldChar w:fldCharType="begin"/>
            </w:r>
            <w:r w:rsidR="006A3701">
              <w:rPr>
                <w:noProof/>
                <w:webHidden/>
              </w:rPr>
              <w:instrText xml:space="preserve"> PAGEREF _Toc489364382 \h </w:instrText>
            </w:r>
            <w:r w:rsidR="006A3701">
              <w:rPr>
                <w:noProof/>
                <w:webHidden/>
              </w:rPr>
            </w:r>
            <w:r w:rsidR="006A3701">
              <w:rPr>
                <w:noProof/>
                <w:webHidden/>
              </w:rPr>
              <w:fldChar w:fldCharType="separate"/>
            </w:r>
            <w:r w:rsidR="0019248E">
              <w:rPr>
                <w:noProof/>
                <w:webHidden/>
              </w:rPr>
              <w:t>6</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83" w:history="1">
            <w:r w:rsidR="006A3701" w:rsidRPr="00E80E40">
              <w:rPr>
                <w:rStyle w:val="Hyperlink"/>
                <w:noProof/>
              </w:rPr>
              <w:t>4.1</w:t>
            </w:r>
            <w:r w:rsidR="006A3701">
              <w:rPr>
                <w:rFonts w:asciiTheme="minorHAnsi" w:eastAsiaTheme="minorEastAsia" w:hAnsiTheme="minorHAnsi" w:cstheme="minorBidi"/>
                <w:noProof/>
                <w:lang w:eastAsia="en-AU"/>
              </w:rPr>
              <w:tab/>
            </w:r>
            <w:r w:rsidR="006A3701" w:rsidRPr="00E80E40">
              <w:rPr>
                <w:rStyle w:val="Hyperlink"/>
                <w:noProof/>
              </w:rPr>
              <w:t>Chief Executive certification</w:t>
            </w:r>
            <w:r w:rsidR="006A3701">
              <w:rPr>
                <w:noProof/>
                <w:webHidden/>
              </w:rPr>
              <w:tab/>
            </w:r>
            <w:r w:rsidR="006A3701">
              <w:rPr>
                <w:noProof/>
                <w:webHidden/>
              </w:rPr>
              <w:fldChar w:fldCharType="begin"/>
            </w:r>
            <w:r w:rsidR="006A3701">
              <w:rPr>
                <w:noProof/>
                <w:webHidden/>
              </w:rPr>
              <w:instrText xml:space="preserve"> PAGEREF _Toc489364383 \h </w:instrText>
            </w:r>
            <w:r w:rsidR="006A3701">
              <w:rPr>
                <w:noProof/>
                <w:webHidden/>
              </w:rPr>
            </w:r>
            <w:r w:rsidR="006A3701">
              <w:rPr>
                <w:noProof/>
                <w:webHidden/>
              </w:rPr>
              <w:fldChar w:fldCharType="separate"/>
            </w:r>
            <w:r w:rsidR="0019248E">
              <w:rPr>
                <w:noProof/>
                <w:webHidden/>
              </w:rPr>
              <w:t>6</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84" w:history="1">
            <w:r w:rsidR="006A3701" w:rsidRPr="00E80E40">
              <w:rPr>
                <w:rStyle w:val="Hyperlink"/>
                <w:noProof/>
              </w:rPr>
              <w:t>4.2</w:t>
            </w:r>
            <w:r w:rsidR="006A3701">
              <w:rPr>
                <w:rFonts w:asciiTheme="minorHAnsi" w:eastAsiaTheme="minorEastAsia" w:hAnsiTheme="minorHAnsi" w:cstheme="minorBidi"/>
                <w:noProof/>
                <w:lang w:eastAsia="en-AU"/>
              </w:rPr>
              <w:tab/>
            </w:r>
            <w:r w:rsidR="006A3701" w:rsidRPr="00E80E40">
              <w:rPr>
                <w:rStyle w:val="Hyperlink"/>
                <w:noProof/>
              </w:rPr>
              <w:t>Risk assessment</w:t>
            </w:r>
            <w:r w:rsidR="006A3701">
              <w:rPr>
                <w:noProof/>
                <w:webHidden/>
              </w:rPr>
              <w:tab/>
            </w:r>
            <w:r w:rsidR="006A3701">
              <w:rPr>
                <w:noProof/>
                <w:webHidden/>
              </w:rPr>
              <w:fldChar w:fldCharType="begin"/>
            </w:r>
            <w:r w:rsidR="006A3701">
              <w:rPr>
                <w:noProof/>
                <w:webHidden/>
              </w:rPr>
              <w:instrText xml:space="preserve"> PAGEREF _Toc489364384 \h </w:instrText>
            </w:r>
            <w:r w:rsidR="006A3701">
              <w:rPr>
                <w:noProof/>
                <w:webHidden/>
              </w:rPr>
            </w:r>
            <w:r w:rsidR="006A3701">
              <w:rPr>
                <w:noProof/>
                <w:webHidden/>
              </w:rPr>
              <w:fldChar w:fldCharType="separate"/>
            </w:r>
            <w:r w:rsidR="0019248E">
              <w:rPr>
                <w:noProof/>
                <w:webHidden/>
              </w:rPr>
              <w:t>6</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85" w:history="1">
            <w:r w:rsidR="006A3701" w:rsidRPr="00E80E40">
              <w:rPr>
                <w:rStyle w:val="Hyperlink"/>
                <w:noProof/>
              </w:rPr>
              <w:t>4.3</w:t>
            </w:r>
            <w:r w:rsidR="006A3701">
              <w:rPr>
                <w:rFonts w:asciiTheme="minorHAnsi" w:eastAsiaTheme="minorEastAsia" w:hAnsiTheme="minorHAnsi" w:cstheme="minorBidi"/>
                <w:noProof/>
                <w:lang w:eastAsia="en-AU"/>
              </w:rPr>
              <w:tab/>
            </w:r>
            <w:r w:rsidR="006A3701" w:rsidRPr="00E80E40">
              <w:rPr>
                <w:rStyle w:val="Hyperlink"/>
                <w:noProof/>
              </w:rPr>
              <w:t>Risk mitigation</w:t>
            </w:r>
            <w:r w:rsidR="006A3701">
              <w:rPr>
                <w:noProof/>
                <w:webHidden/>
              </w:rPr>
              <w:tab/>
            </w:r>
            <w:r w:rsidR="006A3701">
              <w:rPr>
                <w:noProof/>
                <w:webHidden/>
              </w:rPr>
              <w:fldChar w:fldCharType="begin"/>
            </w:r>
            <w:r w:rsidR="006A3701">
              <w:rPr>
                <w:noProof/>
                <w:webHidden/>
              </w:rPr>
              <w:instrText xml:space="preserve"> PAGEREF _Toc489364385 \h </w:instrText>
            </w:r>
            <w:r w:rsidR="006A3701">
              <w:rPr>
                <w:noProof/>
                <w:webHidden/>
              </w:rPr>
            </w:r>
            <w:r w:rsidR="006A3701">
              <w:rPr>
                <w:noProof/>
                <w:webHidden/>
              </w:rPr>
              <w:fldChar w:fldCharType="separate"/>
            </w:r>
            <w:r w:rsidR="0019248E">
              <w:rPr>
                <w:noProof/>
                <w:webHidden/>
              </w:rPr>
              <w:t>7</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86" w:history="1">
            <w:r w:rsidR="006A3701" w:rsidRPr="00E80E40">
              <w:rPr>
                <w:rStyle w:val="Hyperlink"/>
                <w:noProof/>
              </w:rPr>
              <w:t>4.4</w:t>
            </w:r>
            <w:r w:rsidR="006A3701">
              <w:rPr>
                <w:rFonts w:asciiTheme="minorHAnsi" w:eastAsiaTheme="minorEastAsia" w:hAnsiTheme="minorHAnsi" w:cstheme="minorBidi"/>
                <w:noProof/>
                <w:lang w:eastAsia="en-AU"/>
              </w:rPr>
              <w:tab/>
            </w:r>
            <w:r w:rsidR="006A3701" w:rsidRPr="00E80E40">
              <w:rPr>
                <w:rStyle w:val="Hyperlink"/>
                <w:noProof/>
              </w:rPr>
              <w:t>Re-use of existing services</w:t>
            </w:r>
            <w:r w:rsidR="006A3701">
              <w:rPr>
                <w:noProof/>
                <w:webHidden/>
              </w:rPr>
              <w:tab/>
            </w:r>
            <w:r w:rsidR="006A3701">
              <w:rPr>
                <w:noProof/>
                <w:webHidden/>
              </w:rPr>
              <w:fldChar w:fldCharType="begin"/>
            </w:r>
            <w:r w:rsidR="006A3701">
              <w:rPr>
                <w:noProof/>
                <w:webHidden/>
              </w:rPr>
              <w:instrText xml:space="preserve"> PAGEREF _Toc489364386 \h </w:instrText>
            </w:r>
            <w:r w:rsidR="006A3701">
              <w:rPr>
                <w:noProof/>
                <w:webHidden/>
              </w:rPr>
            </w:r>
            <w:r w:rsidR="006A3701">
              <w:rPr>
                <w:noProof/>
                <w:webHidden/>
              </w:rPr>
              <w:fldChar w:fldCharType="separate"/>
            </w:r>
            <w:r w:rsidR="0019248E">
              <w:rPr>
                <w:noProof/>
                <w:webHidden/>
              </w:rPr>
              <w:t>7</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87" w:history="1">
            <w:r w:rsidR="006A3701" w:rsidRPr="00E80E40">
              <w:rPr>
                <w:rStyle w:val="Hyperlink"/>
                <w:noProof/>
              </w:rPr>
              <w:t>4.5</w:t>
            </w:r>
            <w:r w:rsidR="006A3701">
              <w:rPr>
                <w:rFonts w:asciiTheme="minorHAnsi" w:eastAsiaTheme="minorEastAsia" w:hAnsiTheme="minorHAnsi" w:cstheme="minorBidi"/>
                <w:noProof/>
                <w:lang w:eastAsia="en-AU"/>
              </w:rPr>
              <w:tab/>
            </w:r>
            <w:r w:rsidR="006A3701" w:rsidRPr="00E80E40">
              <w:rPr>
                <w:rStyle w:val="Hyperlink"/>
                <w:noProof/>
              </w:rPr>
              <w:t>Use of NTG cloud service</w:t>
            </w:r>
            <w:r w:rsidR="006A3701">
              <w:rPr>
                <w:noProof/>
                <w:webHidden/>
              </w:rPr>
              <w:tab/>
            </w:r>
            <w:r w:rsidR="006A3701">
              <w:rPr>
                <w:noProof/>
                <w:webHidden/>
              </w:rPr>
              <w:fldChar w:fldCharType="begin"/>
            </w:r>
            <w:r w:rsidR="006A3701">
              <w:rPr>
                <w:noProof/>
                <w:webHidden/>
              </w:rPr>
              <w:instrText xml:space="preserve"> PAGEREF _Toc489364387 \h </w:instrText>
            </w:r>
            <w:r w:rsidR="006A3701">
              <w:rPr>
                <w:noProof/>
                <w:webHidden/>
              </w:rPr>
            </w:r>
            <w:r w:rsidR="006A3701">
              <w:rPr>
                <w:noProof/>
                <w:webHidden/>
              </w:rPr>
              <w:fldChar w:fldCharType="separate"/>
            </w:r>
            <w:r w:rsidR="0019248E">
              <w:rPr>
                <w:noProof/>
                <w:webHidden/>
              </w:rPr>
              <w:t>7</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388" w:history="1">
            <w:r w:rsidR="006A3701" w:rsidRPr="00E80E40">
              <w:rPr>
                <w:rStyle w:val="Hyperlink"/>
                <w:noProof/>
              </w:rPr>
              <w:t>5</w:t>
            </w:r>
            <w:r w:rsidR="006A3701">
              <w:rPr>
                <w:rFonts w:asciiTheme="minorHAnsi" w:eastAsiaTheme="minorEastAsia" w:hAnsiTheme="minorHAnsi" w:cstheme="minorBidi"/>
                <w:b w:val="0"/>
                <w:noProof/>
                <w:szCs w:val="22"/>
                <w:lang w:eastAsia="en-AU"/>
              </w:rPr>
              <w:tab/>
            </w:r>
            <w:r w:rsidR="006A3701" w:rsidRPr="00E80E40">
              <w:rPr>
                <w:rStyle w:val="Hyperlink"/>
                <w:noProof/>
              </w:rPr>
              <w:t>Privacy requirements</w:t>
            </w:r>
            <w:r w:rsidR="006A3701">
              <w:rPr>
                <w:noProof/>
                <w:webHidden/>
              </w:rPr>
              <w:tab/>
            </w:r>
            <w:r w:rsidR="006A3701">
              <w:rPr>
                <w:noProof/>
                <w:webHidden/>
              </w:rPr>
              <w:fldChar w:fldCharType="begin"/>
            </w:r>
            <w:r w:rsidR="006A3701">
              <w:rPr>
                <w:noProof/>
                <w:webHidden/>
              </w:rPr>
              <w:instrText xml:space="preserve"> PAGEREF _Toc489364388 \h </w:instrText>
            </w:r>
            <w:r w:rsidR="006A3701">
              <w:rPr>
                <w:noProof/>
                <w:webHidden/>
              </w:rPr>
            </w:r>
            <w:r w:rsidR="006A3701">
              <w:rPr>
                <w:noProof/>
                <w:webHidden/>
              </w:rPr>
              <w:fldChar w:fldCharType="separate"/>
            </w:r>
            <w:r w:rsidR="0019248E">
              <w:rPr>
                <w:noProof/>
                <w:webHidden/>
              </w:rPr>
              <w:t>8</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89" w:history="1">
            <w:r w:rsidR="006A3701" w:rsidRPr="00E80E40">
              <w:rPr>
                <w:rStyle w:val="Hyperlink"/>
                <w:noProof/>
              </w:rPr>
              <w:t>5.1</w:t>
            </w:r>
            <w:r w:rsidR="006A3701">
              <w:rPr>
                <w:rFonts w:asciiTheme="minorHAnsi" w:eastAsiaTheme="minorEastAsia" w:hAnsiTheme="minorHAnsi" w:cstheme="minorBidi"/>
                <w:noProof/>
                <w:lang w:eastAsia="en-AU"/>
              </w:rPr>
              <w:tab/>
            </w:r>
            <w:r w:rsidR="006A3701" w:rsidRPr="00E80E40">
              <w:rPr>
                <w:rStyle w:val="Hyperlink"/>
                <w:noProof/>
              </w:rPr>
              <w:t>Personal information</w:t>
            </w:r>
            <w:r w:rsidR="006A3701">
              <w:rPr>
                <w:noProof/>
                <w:webHidden/>
              </w:rPr>
              <w:tab/>
            </w:r>
            <w:r w:rsidR="006A3701">
              <w:rPr>
                <w:noProof/>
                <w:webHidden/>
              </w:rPr>
              <w:fldChar w:fldCharType="begin"/>
            </w:r>
            <w:r w:rsidR="006A3701">
              <w:rPr>
                <w:noProof/>
                <w:webHidden/>
              </w:rPr>
              <w:instrText xml:space="preserve"> PAGEREF _Toc489364389 \h </w:instrText>
            </w:r>
            <w:r w:rsidR="006A3701">
              <w:rPr>
                <w:noProof/>
                <w:webHidden/>
              </w:rPr>
            </w:r>
            <w:r w:rsidR="006A3701">
              <w:rPr>
                <w:noProof/>
                <w:webHidden/>
              </w:rPr>
              <w:fldChar w:fldCharType="separate"/>
            </w:r>
            <w:r w:rsidR="0019248E">
              <w:rPr>
                <w:noProof/>
                <w:webHidden/>
              </w:rPr>
              <w:t>8</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90" w:history="1">
            <w:r w:rsidR="006A3701" w:rsidRPr="00E80E40">
              <w:rPr>
                <w:rStyle w:val="Hyperlink"/>
                <w:noProof/>
              </w:rPr>
              <w:t>5.2</w:t>
            </w:r>
            <w:r w:rsidR="006A3701">
              <w:rPr>
                <w:rFonts w:asciiTheme="minorHAnsi" w:eastAsiaTheme="minorEastAsia" w:hAnsiTheme="minorHAnsi" w:cstheme="minorBidi"/>
                <w:noProof/>
                <w:lang w:eastAsia="en-AU"/>
              </w:rPr>
              <w:tab/>
            </w:r>
            <w:r w:rsidR="006A3701" w:rsidRPr="00E80E40">
              <w:rPr>
                <w:rStyle w:val="Hyperlink"/>
                <w:noProof/>
              </w:rPr>
              <w:t>Privacy and confidentiality</w:t>
            </w:r>
            <w:r w:rsidR="006A3701">
              <w:rPr>
                <w:noProof/>
                <w:webHidden/>
              </w:rPr>
              <w:tab/>
            </w:r>
            <w:r w:rsidR="006A3701">
              <w:rPr>
                <w:noProof/>
                <w:webHidden/>
              </w:rPr>
              <w:fldChar w:fldCharType="begin"/>
            </w:r>
            <w:r w:rsidR="006A3701">
              <w:rPr>
                <w:noProof/>
                <w:webHidden/>
              </w:rPr>
              <w:instrText xml:space="preserve"> PAGEREF _Toc489364390 \h </w:instrText>
            </w:r>
            <w:r w:rsidR="006A3701">
              <w:rPr>
                <w:noProof/>
                <w:webHidden/>
              </w:rPr>
            </w:r>
            <w:r w:rsidR="006A3701">
              <w:rPr>
                <w:noProof/>
                <w:webHidden/>
              </w:rPr>
              <w:fldChar w:fldCharType="separate"/>
            </w:r>
            <w:r w:rsidR="0019248E">
              <w:rPr>
                <w:noProof/>
                <w:webHidden/>
              </w:rPr>
              <w:t>8</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391" w:history="1">
            <w:r w:rsidR="006A3701" w:rsidRPr="00E80E40">
              <w:rPr>
                <w:rStyle w:val="Hyperlink"/>
                <w:noProof/>
              </w:rPr>
              <w:t>6</w:t>
            </w:r>
            <w:r w:rsidR="006A3701">
              <w:rPr>
                <w:rFonts w:asciiTheme="minorHAnsi" w:eastAsiaTheme="minorEastAsia" w:hAnsiTheme="minorHAnsi" w:cstheme="minorBidi"/>
                <w:b w:val="0"/>
                <w:noProof/>
                <w:szCs w:val="22"/>
                <w:lang w:eastAsia="en-AU"/>
              </w:rPr>
              <w:tab/>
            </w:r>
            <w:r w:rsidR="006A3701" w:rsidRPr="00E80E40">
              <w:rPr>
                <w:rStyle w:val="Hyperlink"/>
                <w:noProof/>
              </w:rPr>
              <w:t>Security requirements</w:t>
            </w:r>
            <w:r w:rsidR="006A3701">
              <w:rPr>
                <w:noProof/>
                <w:webHidden/>
              </w:rPr>
              <w:tab/>
            </w:r>
            <w:r w:rsidR="006A3701">
              <w:rPr>
                <w:noProof/>
                <w:webHidden/>
              </w:rPr>
              <w:fldChar w:fldCharType="begin"/>
            </w:r>
            <w:r w:rsidR="006A3701">
              <w:rPr>
                <w:noProof/>
                <w:webHidden/>
              </w:rPr>
              <w:instrText xml:space="preserve"> PAGEREF _Toc489364391 \h </w:instrText>
            </w:r>
            <w:r w:rsidR="006A3701">
              <w:rPr>
                <w:noProof/>
                <w:webHidden/>
              </w:rPr>
            </w:r>
            <w:r w:rsidR="006A3701">
              <w:rPr>
                <w:noProof/>
                <w:webHidden/>
              </w:rPr>
              <w:fldChar w:fldCharType="separate"/>
            </w:r>
            <w:r w:rsidR="0019248E">
              <w:rPr>
                <w:noProof/>
                <w:webHidden/>
              </w:rPr>
              <w:t>9</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92" w:history="1">
            <w:r w:rsidR="006A3701" w:rsidRPr="00E80E40">
              <w:rPr>
                <w:rStyle w:val="Hyperlink"/>
                <w:noProof/>
              </w:rPr>
              <w:t>6.1</w:t>
            </w:r>
            <w:r w:rsidR="006A3701">
              <w:rPr>
                <w:rFonts w:asciiTheme="minorHAnsi" w:eastAsiaTheme="minorEastAsia" w:hAnsiTheme="minorHAnsi" w:cstheme="minorBidi"/>
                <w:noProof/>
                <w:lang w:eastAsia="en-AU"/>
              </w:rPr>
              <w:tab/>
            </w:r>
            <w:r w:rsidR="006A3701" w:rsidRPr="00E80E40">
              <w:rPr>
                <w:rStyle w:val="Hyperlink"/>
                <w:noProof/>
              </w:rPr>
              <w:t>Data security</w:t>
            </w:r>
            <w:r w:rsidR="006A3701">
              <w:rPr>
                <w:noProof/>
                <w:webHidden/>
              </w:rPr>
              <w:tab/>
            </w:r>
            <w:r w:rsidR="006A3701">
              <w:rPr>
                <w:noProof/>
                <w:webHidden/>
              </w:rPr>
              <w:fldChar w:fldCharType="begin"/>
            </w:r>
            <w:r w:rsidR="006A3701">
              <w:rPr>
                <w:noProof/>
                <w:webHidden/>
              </w:rPr>
              <w:instrText xml:space="preserve"> PAGEREF _Toc489364392 \h </w:instrText>
            </w:r>
            <w:r w:rsidR="006A3701">
              <w:rPr>
                <w:noProof/>
                <w:webHidden/>
              </w:rPr>
            </w:r>
            <w:r w:rsidR="006A3701">
              <w:rPr>
                <w:noProof/>
                <w:webHidden/>
              </w:rPr>
              <w:fldChar w:fldCharType="separate"/>
            </w:r>
            <w:r w:rsidR="0019248E">
              <w:rPr>
                <w:noProof/>
                <w:webHidden/>
              </w:rPr>
              <w:t>9</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93" w:history="1">
            <w:r w:rsidR="006A3701" w:rsidRPr="00E80E40">
              <w:rPr>
                <w:rStyle w:val="Hyperlink"/>
                <w:noProof/>
              </w:rPr>
              <w:t>6.2</w:t>
            </w:r>
            <w:r w:rsidR="006A3701">
              <w:rPr>
                <w:rFonts w:asciiTheme="minorHAnsi" w:eastAsiaTheme="minorEastAsia" w:hAnsiTheme="minorHAnsi" w:cstheme="minorBidi"/>
                <w:noProof/>
                <w:lang w:eastAsia="en-AU"/>
              </w:rPr>
              <w:tab/>
            </w:r>
            <w:r w:rsidR="006A3701" w:rsidRPr="00E80E40">
              <w:rPr>
                <w:rStyle w:val="Hyperlink"/>
                <w:noProof/>
              </w:rPr>
              <w:t>NTG ICT Security assessment</w:t>
            </w:r>
            <w:r w:rsidR="006A3701">
              <w:rPr>
                <w:noProof/>
                <w:webHidden/>
              </w:rPr>
              <w:tab/>
            </w:r>
            <w:r w:rsidR="006A3701">
              <w:rPr>
                <w:noProof/>
                <w:webHidden/>
              </w:rPr>
              <w:fldChar w:fldCharType="begin"/>
            </w:r>
            <w:r w:rsidR="006A3701">
              <w:rPr>
                <w:noProof/>
                <w:webHidden/>
              </w:rPr>
              <w:instrText xml:space="preserve"> PAGEREF _Toc489364393 \h </w:instrText>
            </w:r>
            <w:r w:rsidR="006A3701">
              <w:rPr>
                <w:noProof/>
                <w:webHidden/>
              </w:rPr>
            </w:r>
            <w:r w:rsidR="006A3701">
              <w:rPr>
                <w:noProof/>
                <w:webHidden/>
              </w:rPr>
              <w:fldChar w:fldCharType="separate"/>
            </w:r>
            <w:r w:rsidR="0019248E">
              <w:rPr>
                <w:noProof/>
                <w:webHidden/>
              </w:rPr>
              <w:t>9</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94" w:history="1">
            <w:r w:rsidR="006A3701" w:rsidRPr="00E80E40">
              <w:rPr>
                <w:rStyle w:val="Hyperlink"/>
                <w:noProof/>
              </w:rPr>
              <w:t>6.3</w:t>
            </w:r>
            <w:r w:rsidR="006A3701">
              <w:rPr>
                <w:rFonts w:asciiTheme="minorHAnsi" w:eastAsiaTheme="minorEastAsia" w:hAnsiTheme="minorHAnsi" w:cstheme="minorBidi"/>
                <w:noProof/>
                <w:lang w:eastAsia="en-AU"/>
              </w:rPr>
              <w:tab/>
            </w:r>
            <w:r w:rsidR="006A3701" w:rsidRPr="00E80E40">
              <w:rPr>
                <w:rStyle w:val="Hyperlink"/>
                <w:noProof/>
              </w:rPr>
              <w:t>Certified cloud service list</w:t>
            </w:r>
            <w:r w:rsidR="006A3701">
              <w:rPr>
                <w:noProof/>
                <w:webHidden/>
              </w:rPr>
              <w:tab/>
            </w:r>
            <w:r w:rsidR="006A3701">
              <w:rPr>
                <w:noProof/>
                <w:webHidden/>
              </w:rPr>
              <w:fldChar w:fldCharType="begin"/>
            </w:r>
            <w:r w:rsidR="006A3701">
              <w:rPr>
                <w:noProof/>
                <w:webHidden/>
              </w:rPr>
              <w:instrText xml:space="preserve"> PAGEREF _Toc489364394 \h </w:instrText>
            </w:r>
            <w:r w:rsidR="006A3701">
              <w:rPr>
                <w:noProof/>
                <w:webHidden/>
              </w:rPr>
            </w:r>
            <w:r w:rsidR="006A3701">
              <w:rPr>
                <w:noProof/>
                <w:webHidden/>
              </w:rPr>
              <w:fldChar w:fldCharType="separate"/>
            </w:r>
            <w:r w:rsidR="0019248E">
              <w:rPr>
                <w:noProof/>
                <w:webHidden/>
              </w:rPr>
              <w:t>10</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95" w:history="1">
            <w:r w:rsidR="006A3701" w:rsidRPr="00E80E40">
              <w:rPr>
                <w:rStyle w:val="Hyperlink"/>
                <w:noProof/>
              </w:rPr>
              <w:t>6.4</w:t>
            </w:r>
            <w:r w:rsidR="006A3701">
              <w:rPr>
                <w:rFonts w:asciiTheme="minorHAnsi" w:eastAsiaTheme="minorEastAsia" w:hAnsiTheme="minorHAnsi" w:cstheme="minorBidi"/>
                <w:noProof/>
                <w:lang w:eastAsia="en-AU"/>
              </w:rPr>
              <w:tab/>
            </w:r>
            <w:r w:rsidR="006A3701" w:rsidRPr="00E80E40">
              <w:rPr>
                <w:rStyle w:val="Hyperlink"/>
                <w:noProof/>
              </w:rPr>
              <w:t>Security accreditation</w:t>
            </w:r>
            <w:r w:rsidR="006A3701">
              <w:rPr>
                <w:noProof/>
                <w:webHidden/>
              </w:rPr>
              <w:tab/>
            </w:r>
            <w:r w:rsidR="006A3701">
              <w:rPr>
                <w:noProof/>
                <w:webHidden/>
              </w:rPr>
              <w:fldChar w:fldCharType="begin"/>
            </w:r>
            <w:r w:rsidR="006A3701">
              <w:rPr>
                <w:noProof/>
                <w:webHidden/>
              </w:rPr>
              <w:instrText xml:space="preserve"> PAGEREF _Toc489364395 \h </w:instrText>
            </w:r>
            <w:r w:rsidR="006A3701">
              <w:rPr>
                <w:noProof/>
                <w:webHidden/>
              </w:rPr>
            </w:r>
            <w:r w:rsidR="006A3701">
              <w:rPr>
                <w:noProof/>
                <w:webHidden/>
              </w:rPr>
              <w:fldChar w:fldCharType="separate"/>
            </w:r>
            <w:r w:rsidR="0019248E">
              <w:rPr>
                <w:noProof/>
                <w:webHidden/>
              </w:rPr>
              <w:t>10</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96" w:history="1">
            <w:r w:rsidR="006A3701" w:rsidRPr="00E80E40">
              <w:rPr>
                <w:rStyle w:val="Hyperlink"/>
                <w:noProof/>
              </w:rPr>
              <w:t>6.5</w:t>
            </w:r>
            <w:r w:rsidR="006A3701">
              <w:rPr>
                <w:rFonts w:asciiTheme="minorHAnsi" w:eastAsiaTheme="minorEastAsia" w:hAnsiTheme="minorHAnsi" w:cstheme="minorBidi"/>
                <w:noProof/>
                <w:lang w:eastAsia="en-AU"/>
              </w:rPr>
              <w:tab/>
            </w:r>
            <w:r w:rsidR="006A3701" w:rsidRPr="00E80E40">
              <w:rPr>
                <w:rStyle w:val="Hyperlink"/>
                <w:noProof/>
              </w:rPr>
              <w:t>Security classification of information</w:t>
            </w:r>
            <w:r w:rsidR="006A3701">
              <w:rPr>
                <w:noProof/>
                <w:webHidden/>
              </w:rPr>
              <w:tab/>
            </w:r>
            <w:r w:rsidR="006A3701">
              <w:rPr>
                <w:noProof/>
                <w:webHidden/>
              </w:rPr>
              <w:fldChar w:fldCharType="begin"/>
            </w:r>
            <w:r w:rsidR="006A3701">
              <w:rPr>
                <w:noProof/>
                <w:webHidden/>
              </w:rPr>
              <w:instrText xml:space="preserve"> PAGEREF _Toc489364396 \h </w:instrText>
            </w:r>
            <w:r w:rsidR="006A3701">
              <w:rPr>
                <w:noProof/>
                <w:webHidden/>
              </w:rPr>
            </w:r>
            <w:r w:rsidR="006A3701">
              <w:rPr>
                <w:noProof/>
                <w:webHidden/>
              </w:rPr>
              <w:fldChar w:fldCharType="separate"/>
            </w:r>
            <w:r w:rsidR="0019248E">
              <w:rPr>
                <w:noProof/>
                <w:webHidden/>
              </w:rPr>
              <w:t>11</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97" w:history="1">
            <w:r w:rsidR="006A3701" w:rsidRPr="00E80E40">
              <w:rPr>
                <w:rStyle w:val="Hyperlink"/>
                <w:noProof/>
              </w:rPr>
              <w:t>6.6</w:t>
            </w:r>
            <w:r w:rsidR="006A3701">
              <w:rPr>
                <w:rFonts w:asciiTheme="minorHAnsi" w:eastAsiaTheme="minorEastAsia" w:hAnsiTheme="minorHAnsi" w:cstheme="minorBidi"/>
                <w:noProof/>
                <w:lang w:eastAsia="en-AU"/>
              </w:rPr>
              <w:tab/>
            </w:r>
            <w:r w:rsidR="006A3701" w:rsidRPr="00E80E40">
              <w:rPr>
                <w:rStyle w:val="Hyperlink"/>
                <w:noProof/>
              </w:rPr>
              <w:t>Security measures for information classified “in confidence” or above</w:t>
            </w:r>
            <w:r w:rsidR="006A3701">
              <w:rPr>
                <w:noProof/>
                <w:webHidden/>
              </w:rPr>
              <w:tab/>
            </w:r>
            <w:r w:rsidR="006A3701">
              <w:rPr>
                <w:noProof/>
                <w:webHidden/>
              </w:rPr>
              <w:fldChar w:fldCharType="begin"/>
            </w:r>
            <w:r w:rsidR="006A3701">
              <w:rPr>
                <w:noProof/>
                <w:webHidden/>
              </w:rPr>
              <w:instrText xml:space="preserve"> PAGEREF _Toc489364397 \h </w:instrText>
            </w:r>
            <w:r w:rsidR="006A3701">
              <w:rPr>
                <w:noProof/>
                <w:webHidden/>
              </w:rPr>
            </w:r>
            <w:r w:rsidR="006A3701">
              <w:rPr>
                <w:noProof/>
                <w:webHidden/>
              </w:rPr>
              <w:fldChar w:fldCharType="separate"/>
            </w:r>
            <w:r w:rsidR="0019248E">
              <w:rPr>
                <w:noProof/>
                <w:webHidden/>
              </w:rPr>
              <w:t>11</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398" w:history="1">
            <w:r w:rsidR="006A3701" w:rsidRPr="00E80E40">
              <w:rPr>
                <w:rStyle w:val="Hyperlink"/>
                <w:noProof/>
              </w:rPr>
              <w:t>6.7</w:t>
            </w:r>
            <w:r w:rsidR="006A3701">
              <w:rPr>
                <w:rFonts w:asciiTheme="minorHAnsi" w:eastAsiaTheme="minorEastAsia" w:hAnsiTheme="minorHAnsi" w:cstheme="minorBidi"/>
                <w:noProof/>
                <w:lang w:eastAsia="en-AU"/>
              </w:rPr>
              <w:tab/>
            </w:r>
            <w:r w:rsidR="006A3701" w:rsidRPr="00E80E40">
              <w:rPr>
                <w:rStyle w:val="Hyperlink"/>
                <w:noProof/>
              </w:rPr>
              <w:t>Authentication</w:t>
            </w:r>
            <w:r w:rsidR="006A3701">
              <w:rPr>
                <w:noProof/>
                <w:webHidden/>
              </w:rPr>
              <w:tab/>
            </w:r>
            <w:r w:rsidR="006A3701">
              <w:rPr>
                <w:noProof/>
                <w:webHidden/>
              </w:rPr>
              <w:fldChar w:fldCharType="begin"/>
            </w:r>
            <w:r w:rsidR="006A3701">
              <w:rPr>
                <w:noProof/>
                <w:webHidden/>
              </w:rPr>
              <w:instrText xml:space="preserve"> PAGEREF _Toc489364398 \h </w:instrText>
            </w:r>
            <w:r w:rsidR="006A3701">
              <w:rPr>
                <w:noProof/>
                <w:webHidden/>
              </w:rPr>
            </w:r>
            <w:r w:rsidR="006A3701">
              <w:rPr>
                <w:noProof/>
                <w:webHidden/>
              </w:rPr>
              <w:fldChar w:fldCharType="separate"/>
            </w:r>
            <w:r w:rsidR="0019248E">
              <w:rPr>
                <w:noProof/>
                <w:webHidden/>
              </w:rPr>
              <w:t>11</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399" w:history="1">
            <w:r w:rsidR="006A3701" w:rsidRPr="00E80E40">
              <w:rPr>
                <w:rStyle w:val="Hyperlink"/>
                <w:noProof/>
              </w:rPr>
              <w:t>7</w:t>
            </w:r>
            <w:r w:rsidR="006A3701">
              <w:rPr>
                <w:rFonts w:asciiTheme="minorHAnsi" w:eastAsiaTheme="minorEastAsia" w:hAnsiTheme="minorHAnsi" w:cstheme="minorBidi"/>
                <w:b w:val="0"/>
                <w:noProof/>
                <w:szCs w:val="22"/>
                <w:lang w:eastAsia="en-AU"/>
              </w:rPr>
              <w:tab/>
            </w:r>
            <w:r w:rsidR="006A3701" w:rsidRPr="00E80E40">
              <w:rPr>
                <w:rStyle w:val="Hyperlink"/>
                <w:noProof/>
              </w:rPr>
              <w:t>Administrative requirements</w:t>
            </w:r>
            <w:r w:rsidR="006A3701">
              <w:rPr>
                <w:noProof/>
                <w:webHidden/>
              </w:rPr>
              <w:tab/>
            </w:r>
            <w:r w:rsidR="006A3701">
              <w:rPr>
                <w:noProof/>
                <w:webHidden/>
              </w:rPr>
              <w:fldChar w:fldCharType="begin"/>
            </w:r>
            <w:r w:rsidR="006A3701">
              <w:rPr>
                <w:noProof/>
                <w:webHidden/>
              </w:rPr>
              <w:instrText xml:space="preserve"> PAGEREF _Toc489364399 \h </w:instrText>
            </w:r>
            <w:r w:rsidR="006A3701">
              <w:rPr>
                <w:noProof/>
                <w:webHidden/>
              </w:rPr>
            </w:r>
            <w:r w:rsidR="006A3701">
              <w:rPr>
                <w:noProof/>
                <w:webHidden/>
              </w:rPr>
              <w:fldChar w:fldCharType="separate"/>
            </w:r>
            <w:r w:rsidR="0019248E">
              <w:rPr>
                <w:noProof/>
                <w:webHidden/>
              </w:rPr>
              <w:t>12</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00" w:history="1">
            <w:r w:rsidR="006A3701" w:rsidRPr="00E80E40">
              <w:rPr>
                <w:rStyle w:val="Hyperlink"/>
                <w:noProof/>
              </w:rPr>
              <w:t>7.1</w:t>
            </w:r>
            <w:r w:rsidR="006A3701">
              <w:rPr>
                <w:rFonts w:asciiTheme="minorHAnsi" w:eastAsiaTheme="minorEastAsia" w:hAnsiTheme="minorHAnsi" w:cstheme="minorBidi"/>
                <w:noProof/>
                <w:lang w:eastAsia="en-AU"/>
              </w:rPr>
              <w:tab/>
            </w:r>
            <w:r w:rsidR="006A3701" w:rsidRPr="00E80E40">
              <w:rPr>
                <w:rStyle w:val="Hyperlink"/>
                <w:noProof/>
              </w:rPr>
              <w:t>Agency access</w:t>
            </w:r>
            <w:r w:rsidR="006A3701">
              <w:rPr>
                <w:noProof/>
                <w:webHidden/>
              </w:rPr>
              <w:tab/>
            </w:r>
            <w:r w:rsidR="006A3701">
              <w:rPr>
                <w:noProof/>
                <w:webHidden/>
              </w:rPr>
              <w:fldChar w:fldCharType="begin"/>
            </w:r>
            <w:r w:rsidR="006A3701">
              <w:rPr>
                <w:noProof/>
                <w:webHidden/>
              </w:rPr>
              <w:instrText xml:space="preserve"> PAGEREF _Toc489364400 \h </w:instrText>
            </w:r>
            <w:r w:rsidR="006A3701">
              <w:rPr>
                <w:noProof/>
                <w:webHidden/>
              </w:rPr>
            </w:r>
            <w:r w:rsidR="006A3701">
              <w:rPr>
                <w:noProof/>
                <w:webHidden/>
              </w:rPr>
              <w:fldChar w:fldCharType="separate"/>
            </w:r>
            <w:r w:rsidR="0019248E">
              <w:rPr>
                <w:noProof/>
                <w:webHidden/>
              </w:rPr>
              <w:t>12</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01" w:history="1">
            <w:r w:rsidR="006A3701" w:rsidRPr="00E80E40">
              <w:rPr>
                <w:rStyle w:val="Hyperlink"/>
                <w:noProof/>
              </w:rPr>
              <w:t>7.2</w:t>
            </w:r>
            <w:r w:rsidR="006A3701">
              <w:rPr>
                <w:rFonts w:asciiTheme="minorHAnsi" w:eastAsiaTheme="minorEastAsia" w:hAnsiTheme="minorHAnsi" w:cstheme="minorBidi"/>
                <w:noProof/>
                <w:lang w:eastAsia="en-AU"/>
              </w:rPr>
              <w:tab/>
            </w:r>
            <w:r w:rsidR="006A3701" w:rsidRPr="00E80E40">
              <w:rPr>
                <w:rStyle w:val="Hyperlink"/>
                <w:noProof/>
              </w:rPr>
              <w:t>Data ownership</w:t>
            </w:r>
            <w:r w:rsidR="006A3701">
              <w:rPr>
                <w:noProof/>
                <w:webHidden/>
              </w:rPr>
              <w:tab/>
            </w:r>
            <w:r w:rsidR="006A3701">
              <w:rPr>
                <w:noProof/>
                <w:webHidden/>
              </w:rPr>
              <w:fldChar w:fldCharType="begin"/>
            </w:r>
            <w:r w:rsidR="006A3701">
              <w:rPr>
                <w:noProof/>
                <w:webHidden/>
              </w:rPr>
              <w:instrText xml:space="preserve"> PAGEREF _Toc489364401 \h </w:instrText>
            </w:r>
            <w:r w:rsidR="006A3701">
              <w:rPr>
                <w:noProof/>
                <w:webHidden/>
              </w:rPr>
            </w:r>
            <w:r w:rsidR="006A3701">
              <w:rPr>
                <w:noProof/>
                <w:webHidden/>
              </w:rPr>
              <w:fldChar w:fldCharType="separate"/>
            </w:r>
            <w:r w:rsidR="0019248E">
              <w:rPr>
                <w:noProof/>
                <w:webHidden/>
              </w:rPr>
              <w:t>12</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02" w:history="1">
            <w:r w:rsidR="006A3701" w:rsidRPr="00E80E40">
              <w:rPr>
                <w:rStyle w:val="Hyperlink"/>
                <w:noProof/>
              </w:rPr>
              <w:t>7.3</w:t>
            </w:r>
            <w:r w:rsidR="006A3701">
              <w:rPr>
                <w:rFonts w:asciiTheme="minorHAnsi" w:eastAsiaTheme="minorEastAsia" w:hAnsiTheme="minorHAnsi" w:cstheme="minorBidi"/>
                <w:noProof/>
                <w:lang w:eastAsia="en-AU"/>
              </w:rPr>
              <w:tab/>
            </w:r>
            <w:r w:rsidR="006A3701" w:rsidRPr="00E80E40">
              <w:rPr>
                <w:rStyle w:val="Hyperlink"/>
                <w:noProof/>
              </w:rPr>
              <w:t>Data sovereignty</w:t>
            </w:r>
            <w:r w:rsidR="006A3701">
              <w:rPr>
                <w:noProof/>
                <w:webHidden/>
              </w:rPr>
              <w:tab/>
            </w:r>
            <w:r w:rsidR="006A3701">
              <w:rPr>
                <w:noProof/>
                <w:webHidden/>
              </w:rPr>
              <w:fldChar w:fldCharType="begin"/>
            </w:r>
            <w:r w:rsidR="006A3701">
              <w:rPr>
                <w:noProof/>
                <w:webHidden/>
              </w:rPr>
              <w:instrText xml:space="preserve"> PAGEREF _Toc489364402 \h </w:instrText>
            </w:r>
            <w:r w:rsidR="006A3701">
              <w:rPr>
                <w:noProof/>
                <w:webHidden/>
              </w:rPr>
            </w:r>
            <w:r w:rsidR="006A3701">
              <w:rPr>
                <w:noProof/>
                <w:webHidden/>
              </w:rPr>
              <w:fldChar w:fldCharType="separate"/>
            </w:r>
            <w:r w:rsidR="0019248E">
              <w:rPr>
                <w:noProof/>
                <w:webHidden/>
              </w:rPr>
              <w:t>12</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03" w:history="1">
            <w:r w:rsidR="006A3701" w:rsidRPr="00E80E40">
              <w:rPr>
                <w:rStyle w:val="Hyperlink"/>
                <w:noProof/>
              </w:rPr>
              <w:t>7.4</w:t>
            </w:r>
            <w:r w:rsidR="006A3701">
              <w:rPr>
                <w:rFonts w:asciiTheme="minorHAnsi" w:eastAsiaTheme="minorEastAsia" w:hAnsiTheme="minorHAnsi" w:cstheme="minorBidi"/>
                <w:noProof/>
                <w:lang w:eastAsia="en-AU"/>
              </w:rPr>
              <w:tab/>
            </w:r>
            <w:r w:rsidR="006A3701" w:rsidRPr="00E80E40">
              <w:rPr>
                <w:rStyle w:val="Hyperlink"/>
                <w:noProof/>
              </w:rPr>
              <w:t>Records management and Freedom of Information</w:t>
            </w:r>
            <w:r w:rsidR="006A3701">
              <w:rPr>
                <w:noProof/>
                <w:webHidden/>
              </w:rPr>
              <w:tab/>
            </w:r>
            <w:r w:rsidR="006A3701">
              <w:rPr>
                <w:noProof/>
                <w:webHidden/>
              </w:rPr>
              <w:fldChar w:fldCharType="begin"/>
            </w:r>
            <w:r w:rsidR="006A3701">
              <w:rPr>
                <w:noProof/>
                <w:webHidden/>
              </w:rPr>
              <w:instrText xml:space="preserve"> PAGEREF _Toc489364403 \h </w:instrText>
            </w:r>
            <w:r w:rsidR="006A3701">
              <w:rPr>
                <w:noProof/>
                <w:webHidden/>
              </w:rPr>
            </w:r>
            <w:r w:rsidR="006A3701">
              <w:rPr>
                <w:noProof/>
                <w:webHidden/>
              </w:rPr>
              <w:fldChar w:fldCharType="separate"/>
            </w:r>
            <w:r w:rsidR="0019248E">
              <w:rPr>
                <w:noProof/>
                <w:webHidden/>
              </w:rPr>
              <w:t>12</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04" w:history="1">
            <w:r w:rsidR="006A3701" w:rsidRPr="00E80E40">
              <w:rPr>
                <w:rStyle w:val="Hyperlink"/>
                <w:noProof/>
              </w:rPr>
              <w:t>7.5</w:t>
            </w:r>
            <w:r w:rsidR="006A3701">
              <w:rPr>
                <w:rFonts w:asciiTheme="minorHAnsi" w:eastAsiaTheme="minorEastAsia" w:hAnsiTheme="minorHAnsi" w:cstheme="minorBidi"/>
                <w:noProof/>
                <w:lang w:eastAsia="en-AU"/>
              </w:rPr>
              <w:tab/>
            </w:r>
            <w:r w:rsidR="006A3701" w:rsidRPr="00E80E40">
              <w:rPr>
                <w:rStyle w:val="Hyperlink"/>
                <w:noProof/>
              </w:rPr>
              <w:t>Audit</w:t>
            </w:r>
            <w:r w:rsidR="006A3701">
              <w:rPr>
                <w:noProof/>
                <w:webHidden/>
              </w:rPr>
              <w:tab/>
            </w:r>
            <w:r w:rsidR="006A3701">
              <w:rPr>
                <w:noProof/>
                <w:webHidden/>
              </w:rPr>
              <w:fldChar w:fldCharType="begin"/>
            </w:r>
            <w:r w:rsidR="006A3701">
              <w:rPr>
                <w:noProof/>
                <w:webHidden/>
              </w:rPr>
              <w:instrText xml:space="preserve"> PAGEREF _Toc489364404 \h </w:instrText>
            </w:r>
            <w:r w:rsidR="006A3701">
              <w:rPr>
                <w:noProof/>
                <w:webHidden/>
              </w:rPr>
            </w:r>
            <w:r w:rsidR="006A3701">
              <w:rPr>
                <w:noProof/>
                <w:webHidden/>
              </w:rPr>
              <w:fldChar w:fldCharType="separate"/>
            </w:r>
            <w:r w:rsidR="0019248E">
              <w:rPr>
                <w:noProof/>
                <w:webHidden/>
              </w:rPr>
              <w:t>13</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405" w:history="1">
            <w:r w:rsidR="006A3701" w:rsidRPr="00E80E40">
              <w:rPr>
                <w:rStyle w:val="Hyperlink"/>
                <w:noProof/>
              </w:rPr>
              <w:t>8</w:t>
            </w:r>
            <w:r w:rsidR="006A3701">
              <w:rPr>
                <w:rFonts w:asciiTheme="minorHAnsi" w:eastAsiaTheme="minorEastAsia" w:hAnsiTheme="minorHAnsi" w:cstheme="minorBidi"/>
                <w:b w:val="0"/>
                <w:noProof/>
                <w:szCs w:val="22"/>
                <w:lang w:eastAsia="en-AU"/>
              </w:rPr>
              <w:tab/>
            </w:r>
            <w:r w:rsidR="006A3701" w:rsidRPr="00E80E40">
              <w:rPr>
                <w:rStyle w:val="Hyperlink"/>
                <w:noProof/>
              </w:rPr>
              <w:t>Procurement and contract management requirements</w:t>
            </w:r>
            <w:r w:rsidR="006A3701">
              <w:rPr>
                <w:noProof/>
                <w:webHidden/>
              </w:rPr>
              <w:tab/>
            </w:r>
            <w:r w:rsidR="006A3701">
              <w:rPr>
                <w:noProof/>
                <w:webHidden/>
              </w:rPr>
              <w:fldChar w:fldCharType="begin"/>
            </w:r>
            <w:r w:rsidR="006A3701">
              <w:rPr>
                <w:noProof/>
                <w:webHidden/>
              </w:rPr>
              <w:instrText xml:space="preserve"> PAGEREF _Toc489364405 \h </w:instrText>
            </w:r>
            <w:r w:rsidR="006A3701">
              <w:rPr>
                <w:noProof/>
                <w:webHidden/>
              </w:rPr>
            </w:r>
            <w:r w:rsidR="006A3701">
              <w:rPr>
                <w:noProof/>
                <w:webHidden/>
              </w:rPr>
              <w:fldChar w:fldCharType="separate"/>
            </w:r>
            <w:r w:rsidR="0019248E">
              <w:rPr>
                <w:noProof/>
                <w:webHidden/>
              </w:rPr>
              <w:t>13</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06" w:history="1">
            <w:r w:rsidR="006A3701" w:rsidRPr="00E80E40">
              <w:rPr>
                <w:rStyle w:val="Hyperlink"/>
                <w:noProof/>
              </w:rPr>
              <w:t>8.1</w:t>
            </w:r>
            <w:r w:rsidR="006A3701">
              <w:rPr>
                <w:rFonts w:asciiTheme="minorHAnsi" w:eastAsiaTheme="minorEastAsia" w:hAnsiTheme="minorHAnsi" w:cstheme="minorBidi"/>
                <w:noProof/>
                <w:lang w:eastAsia="en-AU"/>
              </w:rPr>
              <w:tab/>
            </w:r>
            <w:r w:rsidR="006A3701" w:rsidRPr="00E80E40">
              <w:rPr>
                <w:rStyle w:val="Hyperlink"/>
                <w:noProof/>
              </w:rPr>
              <w:t>Procurement</w:t>
            </w:r>
            <w:r w:rsidR="006A3701">
              <w:rPr>
                <w:noProof/>
                <w:webHidden/>
              </w:rPr>
              <w:tab/>
            </w:r>
            <w:r w:rsidR="006A3701">
              <w:rPr>
                <w:noProof/>
                <w:webHidden/>
              </w:rPr>
              <w:fldChar w:fldCharType="begin"/>
            </w:r>
            <w:r w:rsidR="006A3701">
              <w:rPr>
                <w:noProof/>
                <w:webHidden/>
              </w:rPr>
              <w:instrText xml:space="preserve"> PAGEREF _Toc489364406 \h </w:instrText>
            </w:r>
            <w:r w:rsidR="006A3701">
              <w:rPr>
                <w:noProof/>
                <w:webHidden/>
              </w:rPr>
            </w:r>
            <w:r w:rsidR="006A3701">
              <w:rPr>
                <w:noProof/>
                <w:webHidden/>
              </w:rPr>
              <w:fldChar w:fldCharType="separate"/>
            </w:r>
            <w:r w:rsidR="0019248E">
              <w:rPr>
                <w:noProof/>
                <w:webHidden/>
              </w:rPr>
              <w:t>13</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07" w:history="1">
            <w:r w:rsidR="006A3701" w:rsidRPr="00E80E40">
              <w:rPr>
                <w:rStyle w:val="Hyperlink"/>
                <w:noProof/>
              </w:rPr>
              <w:t>8.2</w:t>
            </w:r>
            <w:r w:rsidR="006A3701">
              <w:rPr>
                <w:rFonts w:asciiTheme="minorHAnsi" w:eastAsiaTheme="minorEastAsia" w:hAnsiTheme="minorHAnsi" w:cstheme="minorBidi"/>
                <w:noProof/>
                <w:lang w:eastAsia="en-AU"/>
              </w:rPr>
              <w:tab/>
            </w:r>
            <w:r w:rsidR="006A3701" w:rsidRPr="00E80E40">
              <w:rPr>
                <w:rStyle w:val="Hyperlink"/>
                <w:noProof/>
              </w:rPr>
              <w:t>Contracts</w:t>
            </w:r>
            <w:r w:rsidR="006A3701">
              <w:rPr>
                <w:noProof/>
                <w:webHidden/>
              </w:rPr>
              <w:tab/>
            </w:r>
            <w:r w:rsidR="006A3701">
              <w:rPr>
                <w:noProof/>
                <w:webHidden/>
              </w:rPr>
              <w:fldChar w:fldCharType="begin"/>
            </w:r>
            <w:r w:rsidR="006A3701">
              <w:rPr>
                <w:noProof/>
                <w:webHidden/>
              </w:rPr>
              <w:instrText xml:space="preserve"> PAGEREF _Toc489364407 \h </w:instrText>
            </w:r>
            <w:r w:rsidR="006A3701">
              <w:rPr>
                <w:noProof/>
                <w:webHidden/>
              </w:rPr>
            </w:r>
            <w:r w:rsidR="006A3701">
              <w:rPr>
                <w:noProof/>
                <w:webHidden/>
              </w:rPr>
              <w:fldChar w:fldCharType="separate"/>
            </w:r>
            <w:r w:rsidR="0019248E">
              <w:rPr>
                <w:noProof/>
                <w:webHidden/>
              </w:rPr>
              <w:t>13</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08" w:history="1">
            <w:r w:rsidR="006A3701" w:rsidRPr="00E80E40">
              <w:rPr>
                <w:rStyle w:val="Hyperlink"/>
                <w:noProof/>
              </w:rPr>
              <w:t>8.3</w:t>
            </w:r>
            <w:r w:rsidR="006A3701">
              <w:rPr>
                <w:rFonts w:asciiTheme="minorHAnsi" w:eastAsiaTheme="minorEastAsia" w:hAnsiTheme="minorHAnsi" w:cstheme="minorBidi"/>
                <w:noProof/>
                <w:lang w:eastAsia="en-AU"/>
              </w:rPr>
              <w:tab/>
            </w:r>
            <w:r w:rsidR="006A3701" w:rsidRPr="00E80E40">
              <w:rPr>
                <w:rStyle w:val="Hyperlink"/>
                <w:noProof/>
              </w:rPr>
              <w:t>Legal review and advice</w:t>
            </w:r>
            <w:r w:rsidR="006A3701">
              <w:rPr>
                <w:noProof/>
                <w:webHidden/>
              </w:rPr>
              <w:tab/>
            </w:r>
            <w:r w:rsidR="006A3701">
              <w:rPr>
                <w:noProof/>
                <w:webHidden/>
              </w:rPr>
              <w:fldChar w:fldCharType="begin"/>
            </w:r>
            <w:r w:rsidR="006A3701">
              <w:rPr>
                <w:noProof/>
                <w:webHidden/>
              </w:rPr>
              <w:instrText xml:space="preserve"> PAGEREF _Toc489364408 \h </w:instrText>
            </w:r>
            <w:r w:rsidR="006A3701">
              <w:rPr>
                <w:noProof/>
                <w:webHidden/>
              </w:rPr>
            </w:r>
            <w:r w:rsidR="006A3701">
              <w:rPr>
                <w:noProof/>
                <w:webHidden/>
              </w:rPr>
              <w:fldChar w:fldCharType="separate"/>
            </w:r>
            <w:r w:rsidR="0019248E">
              <w:rPr>
                <w:noProof/>
                <w:webHidden/>
              </w:rPr>
              <w:t>14</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09" w:history="1">
            <w:r w:rsidR="006A3701" w:rsidRPr="00E80E40">
              <w:rPr>
                <w:rStyle w:val="Hyperlink"/>
                <w:noProof/>
              </w:rPr>
              <w:t>8.4</w:t>
            </w:r>
            <w:r w:rsidR="006A3701">
              <w:rPr>
                <w:rFonts w:asciiTheme="minorHAnsi" w:eastAsiaTheme="minorEastAsia" w:hAnsiTheme="minorHAnsi" w:cstheme="minorBidi"/>
                <w:noProof/>
                <w:lang w:eastAsia="en-AU"/>
              </w:rPr>
              <w:tab/>
            </w:r>
            <w:r w:rsidR="006A3701" w:rsidRPr="00E80E40">
              <w:rPr>
                <w:rStyle w:val="Hyperlink"/>
                <w:noProof/>
              </w:rPr>
              <w:t>Costs</w:t>
            </w:r>
            <w:r w:rsidR="006A3701">
              <w:rPr>
                <w:noProof/>
                <w:webHidden/>
              </w:rPr>
              <w:tab/>
            </w:r>
            <w:r w:rsidR="006A3701">
              <w:rPr>
                <w:noProof/>
                <w:webHidden/>
              </w:rPr>
              <w:fldChar w:fldCharType="begin"/>
            </w:r>
            <w:r w:rsidR="006A3701">
              <w:rPr>
                <w:noProof/>
                <w:webHidden/>
              </w:rPr>
              <w:instrText xml:space="preserve"> PAGEREF _Toc489364409 \h </w:instrText>
            </w:r>
            <w:r w:rsidR="006A3701">
              <w:rPr>
                <w:noProof/>
                <w:webHidden/>
              </w:rPr>
            </w:r>
            <w:r w:rsidR="006A3701">
              <w:rPr>
                <w:noProof/>
                <w:webHidden/>
              </w:rPr>
              <w:fldChar w:fldCharType="separate"/>
            </w:r>
            <w:r w:rsidR="0019248E">
              <w:rPr>
                <w:noProof/>
                <w:webHidden/>
              </w:rPr>
              <w:t>14</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10" w:history="1">
            <w:r w:rsidR="006A3701" w:rsidRPr="00E80E40">
              <w:rPr>
                <w:rStyle w:val="Hyperlink"/>
                <w:noProof/>
              </w:rPr>
              <w:t>8.5</w:t>
            </w:r>
            <w:r w:rsidR="006A3701">
              <w:rPr>
                <w:rFonts w:asciiTheme="minorHAnsi" w:eastAsiaTheme="minorEastAsia" w:hAnsiTheme="minorHAnsi" w:cstheme="minorBidi"/>
                <w:noProof/>
                <w:lang w:eastAsia="en-AU"/>
              </w:rPr>
              <w:tab/>
            </w:r>
            <w:r w:rsidR="006A3701" w:rsidRPr="00E80E40">
              <w:rPr>
                <w:rStyle w:val="Hyperlink"/>
                <w:noProof/>
              </w:rPr>
              <w:t>Liabilities and indemnities</w:t>
            </w:r>
            <w:r w:rsidR="006A3701">
              <w:rPr>
                <w:noProof/>
                <w:webHidden/>
              </w:rPr>
              <w:tab/>
            </w:r>
            <w:r w:rsidR="006A3701">
              <w:rPr>
                <w:noProof/>
                <w:webHidden/>
              </w:rPr>
              <w:fldChar w:fldCharType="begin"/>
            </w:r>
            <w:r w:rsidR="006A3701">
              <w:rPr>
                <w:noProof/>
                <w:webHidden/>
              </w:rPr>
              <w:instrText xml:space="preserve"> PAGEREF _Toc489364410 \h </w:instrText>
            </w:r>
            <w:r w:rsidR="006A3701">
              <w:rPr>
                <w:noProof/>
                <w:webHidden/>
              </w:rPr>
            </w:r>
            <w:r w:rsidR="006A3701">
              <w:rPr>
                <w:noProof/>
                <w:webHidden/>
              </w:rPr>
              <w:fldChar w:fldCharType="separate"/>
            </w:r>
            <w:r w:rsidR="0019248E">
              <w:rPr>
                <w:noProof/>
                <w:webHidden/>
              </w:rPr>
              <w:t>14</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11" w:history="1">
            <w:r w:rsidR="006A3701" w:rsidRPr="00E80E40">
              <w:rPr>
                <w:rStyle w:val="Hyperlink"/>
                <w:noProof/>
              </w:rPr>
              <w:t>8.6</w:t>
            </w:r>
            <w:r w:rsidR="006A3701">
              <w:rPr>
                <w:rFonts w:asciiTheme="minorHAnsi" w:eastAsiaTheme="minorEastAsia" w:hAnsiTheme="minorHAnsi" w:cstheme="minorBidi"/>
                <w:noProof/>
                <w:lang w:eastAsia="en-AU"/>
              </w:rPr>
              <w:tab/>
            </w:r>
            <w:r w:rsidR="006A3701" w:rsidRPr="00E80E40">
              <w:rPr>
                <w:rStyle w:val="Hyperlink"/>
                <w:noProof/>
              </w:rPr>
              <w:t>Contractor performance management</w:t>
            </w:r>
            <w:r w:rsidR="006A3701">
              <w:rPr>
                <w:noProof/>
                <w:webHidden/>
              </w:rPr>
              <w:tab/>
            </w:r>
            <w:r w:rsidR="006A3701">
              <w:rPr>
                <w:noProof/>
                <w:webHidden/>
              </w:rPr>
              <w:fldChar w:fldCharType="begin"/>
            </w:r>
            <w:r w:rsidR="006A3701">
              <w:rPr>
                <w:noProof/>
                <w:webHidden/>
              </w:rPr>
              <w:instrText xml:space="preserve"> PAGEREF _Toc489364411 \h </w:instrText>
            </w:r>
            <w:r w:rsidR="006A3701">
              <w:rPr>
                <w:noProof/>
                <w:webHidden/>
              </w:rPr>
            </w:r>
            <w:r w:rsidR="006A3701">
              <w:rPr>
                <w:noProof/>
                <w:webHidden/>
              </w:rPr>
              <w:fldChar w:fldCharType="separate"/>
            </w:r>
            <w:r w:rsidR="0019248E">
              <w:rPr>
                <w:noProof/>
                <w:webHidden/>
              </w:rPr>
              <w:t>14</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12" w:history="1">
            <w:r w:rsidR="006A3701" w:rsidRPr="00E80E40">
              <w:rPr>
                <w:rStyle w:val="Hyperlink"/>
                <w:noProof/>
              </w:rPr>
              <w:t>8.7</w:t>
            </w:r>
            <w:r w:rsidR="006A3701">
              <w:rPr>
                <w:rFonts w:asciiTheme="minorHAnsi" w:eastAsiaTheme="minorEastAsia" w:hAnsiTheme="minorHAnsi" w:cstheme="minorBidi"/>
                <w:noProof/>
                <w:lang w:eastAsia="en-AU"/>
              </w:rPr>
              <w:tab/>
            </w:r>
            <w:r w:rsidR="006A3701" w:rsidRPr="00E80E40">
              <w:rPr>
                <w:rStyle w:val="Hyperlink"/>
                <w:noProof/>
              </w:rPr>
              <w:t>Subcontractors</w:t>
            </w:r>
            <w:r w:rsidR="006A3701">
              <w:rPr>
                <w:noProof/>
                <w:webHidden/>
              </w:rPr>
              <w:tab/>
            </w:r>
            <w:r w:rsidR="006A3701">
              <w:rPr>
                <w:noProof/>
                <w:webHidden/>
              </w:rPr>
              <w:fldChar w:fldCharType="begin"/>
            </w:r>
            <w:r w:rsidR="006A3701">
              <w:rPr>
                <w:noProof/>
                <w:webHidden/>
              </w:rPr>
              <w:instrText xml:space="preserve"> PAGEREF _Toc489364412 \h </w:instrText>
            </w:r>
            <w:r w:rsidR="006A3701">
              <w:rPr>
                <w:noProof/>
                <w:webHidden/>
              </w:rPr>
            </w:r>
            <w:r w:rsidR="006A3701">
              <w:rPr>
                <w:noProof/>
                <w:webHidden/>
              </w:rPr>
              <w:fldChar w:fldCharType="separate"/>
            </w:r>
            <w:r w:rsidR="0019248E">
              <w:rPr>
                <w:noProof/>
                <w:webHidden/>
              </w:rPr>
              <w:t>15</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13" w:history="1">
            <w:r w:rsidR="006A3701" w:rsidRPr="00E80E40">
              <w:rPr>
                <w:rStyle w:val="Hyperlink"/>
                <w:noProof/>
              </w:rPr>
              <w:t>8.8</w:t>
            </w:r>
            <w:r w:rsidR="006A3701">
              <w:rPr>
                <w:rFonts w:asciiTheme="minorHAnsi" w:eastAsiaTheme="minorEastAsia" w:hAnsiTheme="minorHAnsi" w:cstheme="minorBidi"/>
                <w:noProof/>
                <w:lang w:eastAsia="en-AU"/>
              </w:rPr>
              <w:tab/>
            </w:r>
            <w:r w:rsidR="006A3701" w:rsidRPr="00E80E40">
              <w:rPr>
                <w:rStyle w:val="Hyperlink"/>
                <w:noProof/>
              </w:rPr>
              <w:t>Termination rights and transition-out provisions</w:t>
            </w:r>
            <w:r w:rsidR="006A3701">
              <w:rPr>
                <w:noProof/>
                <w:webHidden/>
              </w:rPr>
              <w:tab/>
            </w:r>
            <w:r w:rsidR="006A3701">
              <w:rPr>
                <w:noProof/>
                <w:webHidden/>
              </w:rPr>
              <w:fldChar w:fldCharType="begin"/>
            </w:r>
            <w:r w:rsidR="006A3701">
              <w:rPr>
                <w:noProof/>
                <w:webHidden/>
              </w:rPr>
              <w:instrText xml:space="preserve"> PAGEREF _Toc489364413 \h </w:instrText>
            </w:r>
            <w:r w:rsidR="006A3701">
              <w:rPr>
                <w:noProof/>
                <w:webHidden/>
              </w:rPr>
            </w:r>
            <w:r w:rsidR="006A3701">
              <w:rPr>
                <w:noProof/>
                <w:webHidden/>
              </w:rPr>
              <w:fldChar w:fldCharType="separate"/>
            </w:r>
            <w:r w:rsidR="0019248E">
              <w:rPr>
                <w:noProof/>
                <w:webHidden/>
              </w:rPr>
              <w:t>15</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14" w:history="1">
            <w:r w:rsidR="006A3701" w:rsidRPr="00E80E40">
              <w:rPr>
                <w:rStyle w:val="Hyperlink"/>
                <w:noProof/>
              </w:rPr>
              <w:t>8.9</w:t>
            </w:r>
            <w:r w:rsidR="006A3701">
              <w:rPr>
                <w:rFonts w:asciiTheme="minorHAnsi" w:eastAsiaTheme="minorEastAsia" w:hAnsiTheme="minorHAnsi" w:cstheme="minorBidi"/>
                <w:noProof/>
                <w:lang w:eastAsia="en-AU"/>
              </w:rPr>
              <w:tab/>
            </w:r>
            <w:r w:rsidR="006A3701" w:rsidRPr="00E80E40">
              <w:rPr>
                <w:rStyle w:val="Hyperlink"/>
                <w:noProof/>
              </w:rPr>
              <w:t>Change of control</w:t>
            </w:r>
            <w:r w:rsidR="006A3701">
              <w:rPr>
                <w:noProof/>
                <w:webHidden/>
              </w:rPr>
              <w:tab/>
            </w:r>
            <w:r w:rsidR="006A3701">
              <w:rPr>
                <w:noProof/>
                <w:webHidden/>
              </w:rPr>
              <w:fldChar w:fldCharType="begin"/>
            </w:r>
            <w:r w:rsidR="006A3701">
              <w:rPr>
                <w:noProof/>
                <w:webHidden/>
              </w:rPr>
              <w:instrText xml:space="preserve"> PAGEREF _Toc489364414 \h </w:instrText>
            </w:r>
            <w:r w:rsidR="006A3701">
              <w:rPr>
                <w:noProof/>
                <w:webHidden/>
              </w:rPr>
            </w:r>
            <w:r w:rsidR="006A3701">
              <w:rPr>
                <w:noProof/>
                <w:webHidden/>
              </w:rPr>
              <w:fldChar w:fldCharType="separate"/>
            </w:r>
            <w:r w:rsidR="0019248E">
              <w:rPr>
                <w:noProof/>
                <w:webHidden/>
              </w:rPr>
              <w:t>16</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15" w:history="1">
            <w:r w:rsidR="006A3701" w:rsidRPr="00E80E40">
              <w:rPr>
                <w:rStyle w:val="Hyperlink"/>
                <w:noProof/>
              </w:rPr>
              <w:t>8.10</w:t>
            </w:r>
            <w:r w:rsidR="006A3701">
              <w:rPr>
                <w:rFonts w:asciiTheme="minorHAnsi" w:eastAsiaTheme="minorEastAsia" w:hAnsiTheme="minorHAnsi" w:cstheme="minorBidi"/>
                <w:noProof/>
                <w:lang w:eastAsia="en-AU"/>
              </w:rPr>
              <w:tab/>
            </w:r>
            <w:r w:rsidR="006A3701" w:rsidRPr="00E80E40">
              <w:rPr>
                <w:rStyle w:val="Hyperlink"/>
                <w:noProof/>
              </w:rPr>
              <w:t>Periodic review</w:t>
            </w:r>
            <w:r w:rsidR="006A3701">
              <w:rPr>
                <w:noProof/>
                <w:webHidden/>
              </w:rPr>
              <w:tab/>
            </w:r>
            <w:r w:rsidR="006A3701">
              <w:rPr>
                <w:noProof/>
                <w:webHidden/>
              </w:rPr>
              <w:fldChar w:fldCharType="begin"/>
            </w:r>
            <w:r w:rsidR="006A3701">
              <w:rPr>
                <w:noProof/>
                <w:webHidden/>
              </w:rPr>
              <w:instrText xml:space="preserve"> PAGEREF _Toc489364415 \h </w:instrText>
            </w:r>
            <w:r w:rsidR="006A3701">
              <w:rPr>
                <w:noProof/>
                <w:webHidden/>
              </w:rPr>
            </w:r>
            <w:r w:rsidR="006A3701">
              <w:rPr>
                <w:noProof/>
                <w:webHidden/>
              </w:rPr>
              <w:fldChar w:fldCharType="separate"/>
            </w:r>
            <w:r w:rsidR="0019248E">
              <w:rPr>
                <w:noProof/>
                <w:webHidden/>
              </w:rPr>
              <w:t>16</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416" w:history="1">
            <w:r w:rsidR="006A3701" w:rsidRPr="00E80E40">
              <w:rPr>
                <w:rStyle w:val="Hyperlink"/>
                <w:noProof/>
              </w:rPr>
              <w:t>9</w:t>
            </w:r>
            <w:r w:rsidR="006A3701">
              <w:rPr>
                <w:rFonts w:asciiTheme="minorHAnsi" w:eastAsiaTheme="minorEastAsia" w:hAnsiTheme="minorHAnsi" w:cstheme="minorBidi"/>
                <w:b w:val="0"/>
                <w:noProof/>
                <w:szCs w:val="22"/>
                <w:lang w:eastAsia="en-AU"/>
              </w:rPr>
              <w:tab/>
            </w:r>
            <w:r w:rsidR="006A3701" w:rsidRPr="00E80E40">
              <w:rPr>
                <w:rStyle w:val="Hyperlink"/>
                <w:noProof/>
              </w:rPr>
              <w:t>Other requirements</w:t>
            </w:r>
            <w:r w:rsidR="006A3701">
              <w:rPr>
                <w:noProof/>
                <w:webHidden/>
              </w:rPr>
              <w:tab/>
            </w:r>
            <w:r w:rsidR="006A3701">
              <w:rPr>
                <w:noProof/>
                <w:webHidden/>
              </w:rPr>
              <w:fldChar w:fldCharType="begin"/>
            </w:r>
            <w:r w:rsidR="006A3701">
              <w:rPr>
                <w:noProof/>
                <w:webHidden/>
              </w:rPr>
              <w:instrText xml:space="preserve"> PAGEREF _Toc489364416 \h </w:instrText>
            </w:r>
            <w:r w:rsidR="006A3701">
              <w:rPr>
                <w:noProof/>
                <w:webHidden/>
              </w:rPr>
            </w:r>
            <w:r w:rsidR="006A3701">
              <w:rPr>
                <w:noProof/>
                <w:webHidden/>
              </w:rPr>
              <w:fldChar w:fldCharType="separate"/>
            </w:r>
            <w:r w:rsidR="0019248E">
              <w:rPr>
                <w:noProof/>
                <w:webHidden/>
              </w:rPr>
              <w:t>17</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17" w:history="1">
            <w:r w:rsidR="006A3701" w:rsidRPr="00E80E40">
              <w:rPr>
                <w:rStyle w:val="Hyperlink"/>
                <w:noProof/>
              </w:rPr>
              <w:t>9.1</w:t>
            </w:r>
            <w:r w:rsidR="006A3701">
              <w:rPr>
                <w:rFonts w:asciiTheme="minorHAnsi" w:eastAsiaTheme="minorEastAsia" w:hAnsiTheme="minorHAnsi" w:cstheme="minorBidi"/>
                <w:noProof/>
                <w:lang w:eastAsia="en-AU"/>
              </w:rPr>
              <w:tab/>
            </w:r>
            <w:r w:rsidR="006A3701" w:rsidRPr="00E80E40">
              <w:rPr>
                <w:rStyle w:val="Hyperlink"/>
                <w:noProof/>
              </w:rPr>
              <w:t>Key stakeholder acceptance</w:t>
            </w:r>
            <w:r w:rsidR="006A3701">
              <w:rPr>
                <w:noProof/>
                <w:webHidden/>
              </w:rPr>
              <w:tab/>
            </w:r>
            <w:r w:rsidR="006A3701">
              <w:rPr>
                <w:noProof/>
                <w:webHidden/>
              </w:rPr>
              <w:fldChar w:fldCharType="begin"/>
            </w:r>
            <w:r w:rsidR="006A3701">
              <w:rPr>
                <w:noProof/>
                <w:webHidden/>
              </w:rPr>
              <w:instrText xml:space="preserve"> PAGEREF _Toc489364417 \h </w:instrText>
            </w:r>
            <w:r w:rsidR="006A3701">
              <w:rPr>
                <w:noProof/>
                <w:webHidden/>
              </w:rPr>
            </w:r>
            <w:r w:rsidR="006A3701">
              <w:rPr>
                <w:noProof/>
                <w:webHidden/>
              </w:rPr>
              <w:fldChar w:fldCharType="separate"/>
            </w:r>
            <w:r w:rsidR="0019248E">
              <w:rPr>
                <w:noProof/>
                <w:webHidden/>
              </w:rPr>
              <w:t>17</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18" w:history="1">
            <w:r w:rsidR="006A3701" w:rsidRPr="00E80E40">
              <w:rPr>
                <w:rStyle w:val="Hyperlink"/>
                <w:noProof/>
              </w:rPr>
              <w:t>9.2</w:t>
            </w:r>
            <w:r w:rsidR="006A3701">
              <w:rPr>
                <w:rFonts w:asciiTheme="minorHAnsi" w:eastAsiaTheme="minorEastAsia" w:hAnsiTheme="minorHAnsi" w:cstheme="minorBidi"/>
                <w:noProof/>
                <w:lang w:eastAsia="en-AU"/>
              </w:rPr>
              <w:tab/>
            </w:r>
            <w:r w:rsidR="006A3701" w:rsidRPr="00E80E40">
              <w:rPr>
                <w:rStyle w:val="Hyperlink"/>
                <w:noProof/>
              </w:rPr>
              <w:t>Community</w:t>
            </w:r>
            <w:r w:rsidR="006A3701">
              <w:rPr>
                <w:noProof/>
                <w:webHidden/>
              </w:rPr>
              <w:tab/>
            </w:r>
            <w:r w:rsidR="006A3701">
              <w:rPr>
                <w:noProof/>
                <w:webHidden/>
              </w:rPr>
              <w:fldChar w:fldCharType="begin"/>
            </w:r>
            <w:r w:rsidR="006A3701">
              <w:rPr>
                <w:noProof/>
                <w:webHidden/>
              </w:rPr>
              <w:instrText xml:space="preserve"> PAGEREF _Toc489364418 \h </w:instrText>
            </w:r>
            <w:r w:rsidR="006A3701">
              <w:rPr>
                <w:noProof/>
                <w:webHidden/>
              </w:rPr>
            </w:r>
            <w:r w:rsidR="006A3701">
              <w:rPr>
                <w:noProof/>
                <w:webHidden/>
              </w:rPr>
              <w:fldChar w:fldCharType="separate"/>
            </w:r>
            <w:r w:rsidR="0019248E">
              <w:rPr>
                <w:noProof/>
                <w:webHidden/>
              </w:rPr>
              <w:t>17</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419" w:history="1">
            <w:r w:rsidR="006A3701" w:rsidRPr="00E80E40">
              <w:rPr>
                <w:rStyle w:val="Hyperlink"/>
                <w:noProof/>
              </w:rPr>
              <w:t>10</w:t>
            </w:r>
            <w:r w:rsidR="006A3701">
              <w:rPr>
                <w:rFonts w:asciiTheme="minorHAnsi" w:eastAsiaTheme="minorEastAsia" w:hAnsiTheme="minorHAnsi" w:cstheme="minorBidi"/>
                <w:b w:val="0"/>
                <w:noProof/>
                <w:szCs w:val="22"/>
                <w:lang w:eastAsia="en-AU"/>
              </w:rPr>
              <w:tab/>
            </w:r>
            <w:r w:rsidR="006A3701" w:rsidRPr="00E80E40">
              <w:rPr>
                <w:rStyle w:val="Hyperlink"/>
                <w:noProof/>
              </w:rPr>
              <w:t>External cloud services register</w:t>
            </w:r>
            <w:r w:rsidR="006A3701">
              <w:rPr>
                <w:noProof/>
                <w:webHidden/>
              </w:rPr>
              <w:tab/>
            </w:r>
            <w:r w:rsidR="006A3701">
              <w:rPr>
                <w:noProof/>
                <w:webHidden/>
              </w:rPr>
              <w:fldChar w:fldCharType="begin"/>
            </w:r>
            <w:r w:rsidR="006A3701">
              <w:rPr>
                <w:noProof/>
                <w:webHidden/>
              </w:rPr>
              <w:instrText xml:space="preserve"> PAGEREF _Toc489364419 \h </w:instrText>
            </w:r>
            <w:r w:rsidR="006A3701">
              <w:rPr>
                <w:noProof/>
                <w:webHidden/>
              </w:rPr>
            </w:r>
            <w:r w:rsidR="006A3701">
              <w:rPr>
                <w:noProof/>
                <w:webHidden/>
              </w:rPr>
              <w:fldChar w:fldCharType="separate"/>
            </w:r>
            <w:r w:rsidR="0019248E">
              <w:rPr>
                <w:noProof/>
                <w:webHidden/>
              </w:rPr>
              <w:t>17</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20" w:history="1">
            <w:r w:rsidR="006A3701" w:rsidRPr="00E80E40">
              <w:rPr>
                <w:rStyle w:val="Hyperlink"/>
                <w:noProof/>
              </w:rPr>
              <w:t>10.1</w:t>
            </w:r>
            <w:r w:rsidR="006A3701">
              <w:rPr>
                <w:rFonts w:asciiTheme="minorHAnsi" w:eastAsiaTheme="minorEastAsia" w:hAnsiTheme="minorHAnsi" w:cstheme="minorBidi"/>
                <w:noProof/>
                <w:lang w:eastAsia="en-AU"/>
              </w:rPr>
              <w:tab/>
            </w:r>
            <w:r w:rsidR="006A3701" w:rsidRPr="00E80E40">
              <w:rPr>
                <w:rStyle w:val="Hyperlink"/>
                <w:noProof/>
              </w:rPr>
              <w:t>Maintain register</w:t>
            </w:r>
            <w:r w:rsidR="006A3701">
              <w:rPr>
                <w:noProof/>
                <w:webHidden/>
              </w:rPr>
              <w:tab/>
            </w:r>
            <w:r w:rsidR="006A3701">
              <w:rPr>
                <w:noProof/>
                <w:webHidden/>
              </w:rPr>
              <w:fldChar w:fldCharType="begin"/>
            </w:r>
            <w:r w:rsidR="006A3701">
              <w:rPr>
                <w:noProof/>
                <w:webHidden/>
              </w:rPr>
              <w:instrText xml:space="preserve"> PAGEREF _Toc489364420 \h </w:instrText>
            </w:r>
            <w:r w:rsidR="006A3701">
              <w:rPr>
                <w:noProof/>
                <w:webHidden/>
              </w:rPr>
            </w:r>
            <w:r w:rsidR="006A3701">
              <w:rPr>
                <w:noProof/>
                <w:webHidden/>
              </w:rPr>
              <w:fldChar w:fldCharType="separate"/>
            </w:r>
            <w:r w:rsidR="0019248E">
              <w:rPr>
                <w:noProof/>
                <w:webHidden/>
              </w:rPr>
              <w:t>17</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21" w:history="1">
            <w:r w:rsidR="006A3701" w:rsidRPr="00E80E40">
              <w:rPr>
                <w:rStyle w:val="Hyperlink"/>
                <w:noProof/>
              </w:rPr>
              <w:t>10.2</w:t>
            </w:r>
            <w:r w:rsidR="006A3701">
              <w:rPr>
                <w:rFonts w:asciiTheme="minorHAnsi" w:eastAsiaTheme="minorEastAsia" w:hAnsiTheme="minorHAnsi" w:cstheme="minorBidi"/>
                <w:noProof/>
                <w:lang w:eastAsia="en-AU"/>
              </w:rPr>
              <w:tab/>
            </w:r>
            <w:r w:rsidR="006A3701" w:rsidRPr="00E80E40">
              <w:rPr>
                <w:rStyle w:val="Hyperlink"/>
                <w:noProof/>
              </w:rPr>
              <w:t>Allocate responsibility</w:t>
            </w:r>
            <w:r w:rsidR="006A3701">
              <w:rPr>
                <w:noProof/>
                <w:webHidden/>
              </w:rPr>
              <w:tab/>
            </w:r>
            <w:r w:rsidR="006A3701">
              <w:rPr>
                <w:noProof/>
                <w:webHidden/>
              </w:rPr>
              <w:fldChar w:fldCharType="begin"/>
            </w:r>
            <w:r w:rsidR="006A3701">
              <w:rPr>
                <w:noProof/>
                <w:webHidden/>
              </w:rPr>
              <w:instrText xml:space="preserve"> PAGEREF _Toc489364421 \h </w:instrText>
            </w:r>
            <w:r w:rsidR="006A3701">
              <w:rPr>
                <w:noProof/>
                <w:webHidden/>
              </w:rPr>
            </w:r>
            <w:r w:rsidR="006A3701">
              <w:rPr>
                <w:noProof/>
                <w:webHidden/>
              </w:rPr>
              <w:fldChar w:fldCharType="separate"/>
            </w:r>
            <w:r w:rsidR="0019248E">
              <w:rPr>
                <w:noProof/>
                <w:webHidden/>
              </w:rPr>
              <w:t>18</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422" w:history="1">
            <w:r w:rsidR="006A3701" w:rsidRPr="00E80E40">
              <w:rPr>
                <w:rStyle w:val="Hyperlink"/>
                <w:noProof/>
              </w:rPr>
              <w:t>11</w:t>
            </w:r>
            <w:r w:rsidR="006A3701">
              <w:rPr>
                <w:rFonts w:asciiTheme="minorHAnsi" w:eastAsiaTheme="minorEastAsia" w:hAnsiTheme="minorHAnsi" w:cstheme="minorBidi"/>
                <w:b w:val="0"/>
                <w:noProof/>
                <w:szCs w:val="22"/>
                <w:lang w:eastAsia="en-AU"/>
              </w:rPr>
              <w:tab/>
            </w:r>
            <w:r w:rsidR="006A3701" w:rsidRPr="00E80E40">
              <w:rPr>
                <w:rStyle w:val="Hyperlink"/>
                <w:noProof/>
              </w:rPr>
              <w:t>Glossary of acronyms</w:t>
            </w:r>
            <w:r w:rsidR="006A3701">
              <w:rPr>
                <w:noProof/>
                <w:webHidden/>
              </w:rPr>
              <w:tab/>
            </w:r>
            <w:r w:rsidR="006A3701">
              <w:rPr>
                <w:noProof/>
                <w:webHidden/>
              </w:rPr>
              <w:fldChar w:fldCharType="begin"/>
            </w:r>
            <w:r w:rsidR="006A3701">
              <w:rPr>
                <w:noProof/>
                <w:webHidden/>
              </w:rPr>
              <w:instrText xml:space="preserve"> PAGEREF _Toc489364422 \h </w:instrText>
            </w:r>
            <w:r w:rsidR="006A3701">
              <w:rPr>
                <w:noProof/>
                <w:webHidden/>
              </w:rPr>
            </w:r>
            <w:r w:rsidR="006A3701">
              <w:rPr>
                <w:noProof/>
                <w:webHidden/>
              </w:rPr>
              <w:fldChar w:fldCharType="separate"/>
            </w:r>
            <w:r w:rsidR="0019248E">
              <w:rPr>
                <w:noProof/>
                <w:webHidden/>
              </w:rPr>
              <w:t>18</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423" w:history="1">
            <w:r w:rsidR="006A3701" w:rsidRPr="00E80E40">
              <w:rPr>
                <w:rStyle w:val="Hyperlink"/>
                <w:noProof/>
              </w:rPr>
              <w:t>12</w:t>
            </w:r>
            <w:r w:rsidR="006A3701">
              <w:rPr>
                <w:rFonts w:asciiTheme="minorHAnsi" w:eastAsiaTheme="minorEastAsia" w:hAnsiTheme="minorHAnsi" w:cstheme="minorBidi"/>
                <w:b w:val="0"/>
                <w:noProof/>
                <w:szCs w:val="22"/>
                <w:lang w:eastAsia="en-AU"/>
              </w:rPr>
              <w:tab/>
            </w:r>
            <w:r w:rsidR="006A3701" w:rsidRPr="00E80E40">
              <w:rPr>
                <w:rStyle w:val="Hyperlink"/>
                <w:noProof/>
              </w:rPr>
              <w:t>Supporting references</w:t>
            </w:r>
            <w:r w:rsidR="006A3701">
              <w:rPr>
                <w:noProof/>
                <w:webHidden/>
              </w:rPr>
              <w:tab/>
            </w:r>
            <w:r w:rsidR="006A3701">
              <w:rPr>
                <w:noProof/>
                <w:webHidden/>
              </w:rPr>
              <w:fldChar w:fldCharType="begin"/>
            </w:r>
            <w:r w:rsidR="006A3701">
              <w:rPr>
                <w:noProof/>
                <w:webHidden/>
              </w:rPr>
              <w:instrText xml:space="preserve"> PAGEREF _Toc489364423 \h </w:instrText>
            </w:r>
            <w:r w:rsidR="006A3701">
              <w:rPr>
                <w:noProof/>
                <w:webHidden/>
              </w:rPr>
            </w:r>
            <w:r w:rsidR="006A3701">
              <w:rPr>
                <w:noProof/>
                <w:webHidden/>
              </w:rPr>
              <w:fldChar w:fldCharType="separate"/>
            </w:r>
            <w:r w:rsidR="0019248E">
              <w:rPr>
                <w:noProof/>
                <w:webHidden/>
              </w:rPr>
              <w:t>18</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24" w:history="1">
            <w:r w:rsidR="006A3701" w:rsidRPr="00E80E40">
              <w:rPr>
                <w:rStyle w:val="Hyperlink"/>
                <w:noProof/>
              </w:rPr>
              <w:t>12.1</w:t>
            </w:r>
            <w:r w:rsidR="006A3701">
              <w:rPr>
                <w:rFonts w:asciiTheme="minorHAnsi" w:eastAsiaTheme="minorEastAsia" w:hAnsiTheme="minorHAnsi" w:cstheme="minorBidi"/>
                <w:noProof/>
                <w:lang w:eastAsia="en-AU"/>
              </w:rPr>
              <w:tab/>
            </w:r>
            <w:r w:rsidR="006A3701" w:rsidRPr="00E80E40">
              <w:rPr>
                <w:rStyle w:val="Hyperlink"/>
                <w:noProof/>
              </w:rPr>
              <w:t>NTG documents</w:t>
            </w:r>
            <w:r w:rsidR="006A3701">
              <w:rPr>
                <w:noProof/>
                <w:webHidden/>
              </w:rPr>
              <w:tab/>
            </w:r>
            <w:r w:rsidR="006A3701">
              <w:rPr>
                <w:noProof/>
                <w:webHidden/>
              </w:rPr>
              <w:fldChar w:fldCharType="begin"/>
            </w:r>
            <w:r w:rsidR="006A3701">
              <w:rPr>
                <w:noProof/>
                <w:webHidden/>
              </w:rPr>
              <w:instrText xml:space="preserve"> PAGEREF _Toc489364424 \h </w:instrText>
            </w:r>
            <w:r w:rsidR="006A3701">
              <w:rPr>
                <w:noProof/>
                <w:webHidden/>
              </w:rPr>
            </w:r>
            <w:r w:rsidR="006A3701">
              <w:rPr>
                <w:noProof/>
                <w:webHidden/>
              </w:rPr>
              <w:fldChar w:fldCharType="separate"/>
            </w:r>
            <w:r w:rsidR="0019248E">
              <w:rPr>
                <w:noProof/>
                <w:webHidden/>
              </w:rPr>
              <w:t>18</w:t>
            </w:r>
            <w:r w:rsidR="006A3701">
              <w:rPr>
                <w:noProof/>
                <w:webHidden/>
              </w:rPr>
              <w:fldChar w:fldCharType="end"/>
            </w:r>
          </w:hyperlink>
        </w:p>
        <w:p w:rsidR="006A3701" w:rsidRDefault="00B43C6B">
          <w:pPr>
            <w:pStyle w:val="TOC2"/>
            <w:rPr>
              <w:rFonts w:asciiTheme="minorHAnsi" w:eastAsiaTheme="minorEastAsia" w:hAnsiTheme="minorHAnsi" w:cstheme="minorBidi"/>
              <w:noProof/>
              <w:lang w:eastAsia="en-AU"/>
            </w:rPr>
          </w:pPr>
          <w:hyperlink w:anchor="_Toc489364425" w:history="1">
            <w:r w:rsidR="006A3701" w:rsidRPr="00E80E40">
              <w:rPr>
                <w:rStyle w:val="Hyperlink"/>
                <w:noProof/>
              </w:rPr>
              <w:t>12.2</w:t>
            </w:r>
            <w:r w:rsidR="006A3701">
              <w:rPr>
                <w:rFonts w:asciiTheme="minorHAnsi" w:eastAsiaTheme="minorEastAsia" w:hAnsiTheme="minorHAnsi" w:cstheme="minorBidi"/>
                <w:noProof/>
                <w:lang w:eastAsia="en-AU"/>
              </w:rPr>
              <w:tab/>
            </w:r>
            <w:r w:rsidR="006A3701" w:rsidRPr="00E80E40">
              <w:rPr>
                <w:rStyle w:val="Hyperlink"/>
                <w:noProof/>
              </w:rPr>
              <w:t>Australian Government documents</w:t>
            </w:r>
            <w:r w:rsidR="006A3701">
              <w:rPr>
                <w:noProof/>
                <w:webHidden/>
              </w:rPr>
              <w:tab/>
            </w:r>
            <w:r w:rsidR="006A3701">
              <w:rPr>
                <w:noProof/>
                <w:webHidden/>
              </w:rPr>
              <w:fldChar w:fldCharType="begin"/>
            </w:r>
            <w:r w:rsidR="006A3701">
              <w:rPr>
                <w:noProof/>
                <w:webHidden/>
              </w:rPr>
              <w:instrText xml:space="preserve"> PAGEREF _Toc489364425 \h </w:instrText>
            </w:r>
            <w:r w:rsidR="006A3701">
              <w:rPr>
                <w:noProof/>
                <w:webHidden/>
              </w:rPr>
            </w:r>
            <w:r w:rsidR="006A3701">
              <w:rPr>
                <w:noProof/>
                <w:webHidden/>
              </w:rPr>
              <w:fldChar w:fldCharType="separate"/>
            </w:r>
            <w:r w:rsidR="0019248E">
              <w:rPr>
                <w:noProof/>
                <w:webHidden/>
              </w:rPr>
              <w:t>18</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426" w:history="1">
            <w:r w:rsidR="00B70CA7">
              <w:rPr>
                <w:rStyle w:val="Hyperlink"/>
                <w:noProof/>
              </w:rPr>
              <w:t>Appendix A</w:t>
            </w:r>
            <w:r w:rsidR="006A3701" w:rsidRPr="00E80E40">
              <w:rPr>
                <w:rStyle w:val="Hyperlink"/>
                <w:noProof/>
              </w:rPr>
              <w:t>: External Cloud Service proposal</w:t>
            </w:r>
            <w:r w:rsidR="006A3701">
              <w:rPr>
                <w:noProof/>
                <w:webHidden/>
              </w:rPr>
              <w:tab/>
            </w:r>
            <w:r w:rsidR="006A3701">
              <w:rPr>
                <w:noProof/>
                <w:webHidden/>
              </w:rPr>
              <w:fldChar w:fldCharType="begin"/>
            </w:r>
            <w:r w:rsidR="006A3701">
              <w:rPr>
                <w:noProof/>
                <w:webHidden/>
              </w:rPr>
              <w:instrText xml:space="preserve"> PAGEREF _Toc489364426 \h </w:instrText>
            </w:r>
            <w:r w:rsidR="006A3701">
              <w:rPr>
                <w:noProof/>
                <w:webHidden/>
              </w:rPr>
            </w:r>
            <w:r w:rsidR="006A3701">
              <w:rPr>
                <w:noProof/>
                <w:webHidden/>
              </w:rPr>
              <w:fldChar w:fldCharType="separate"/>
            </w:r>
            <w:r w:rsidR="0019248E">
              <w:rPr>
                <w:noProof/>
                <w:webHidden/>
              </w:rPr>
              <w:t>20</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427" w:history="1">
            <w:r w:rsidR="00B70CA7">
              <w:rPr>
                <w:rStyle w:val="Hyperlink"/>
                <w:noProof/>
              </w:rPr>
              <w:t>Appendix </w:t>
            </w:r>
            <w:r w:rsidR="006A3701" w:rsidRPr="00E80E40">
              <w:rPr>
                <w:rStyle w:val="Hyperlink"/>
                <w:noProof/>
              </w:rPr>
              <w:t>B: Flowchart</w:t>
            </w:r>
            <w:r w:rsidR="006A3701">
              <w:rPr>
                <w:noProof/>
                <w:webHidden/>
              </w:rPr>
              <w:tab/>
            </w:r>
            <w:r w:rsidR="006A3701">
              <w:rPr>
                <w:noProof/>
                <w:webHidden/>
              </w:rPr>
              <w:fldChar w:fldCharType="begin"/>
            </w:r>
            <w:r w:rsidR="006A3701">
              <w:rPr>
                <w:noProof/>
                <w:webHidden/>
              </w:rPr>
              <w:instrText xml:space="preserve"> PAGEREF _Toc489364427 \h </w:instrText>
            </w:r>
            <w:r w:rsidR="006A3701">
              <w:rPr>
                <w:noProof/>
                <w:webHidden/>
              </w:rPr>
            </w:r>
            <w:r w:rsidR="006A3701">
              <w:rPr>
                <w:noProof/>
                <w:webHidden/>
              </w:rPr>
              <w:fldChar w:fldCharType="separate"/>
            </w:r>
            <w:r w:rsidR="0019248E">
              <w:rPr>
                <w:noProof/>
                <w:webHidden/>
              </w:rPr>
              <w:t>21</w:t>
            </w:r>
            <w:r w:rsidR="006A3701">
              <w:rPr>
                <w:noProof/>
                <w:webHidden/>
              </w:rPr>
              <w:fldChar w:fldCharType="end"/>
            </w:r>
          </w:hyperlink>
        </w:p>
        <w:p w:rsidR="006A3701" w:rsidRDefault="00B43C6B">
          <w:pPr>
            <w:pStyle w:val="TOC1"/>
            <w:rPr>
              <w:rFonts w:asciiTheme="minorHAnsi" w:eastAsiaTheme="minorEastAsia" w:hAnsiTheme="minorHAnsi" w:cstheme="minorBidi"/>
              <w:b w:val="0"/>
              <w:noProof/>
              <w:szCs w:val="22"/>
              <w:lang w:eastAsia="en-AU"/>
            </w:rPr>
          </w:pPr>
          <w:hyperlink w:anchor="_Toc489364428" w:history="1">
            <w:r w:rsidR="00B70CA7">
              <w:rPr>
                <w:rStyle w:val="Hyperlink"/>
                <w:noProof/>
              </w:rPr>
              <w:t>Appendix </w:t>
            </w:r>
            <w:r w:rsidR="006A3701" w:rsidRPr="00E80E40">
              <w:rPr>
                <w:rStyle w:val="Hyperlink"/>
                <w:noProof/>
              </w:rPr>
              <w:t>C: Flowchart (as text)</w:t>
            </w:r>
            <w:r w:rsidR="006A3701">
              <w:rPr>
                <w:noProof/>
                <w:webHidden/>
              </w:rPr>
              <w:tab/>
            </w:r>
            <w:r w:rsidR="006A3701">
              <w:rPr>
                <w:noProof/>
                <w:webHidden/>
              </w:rPr>
              <w:fldChar w:fldCharType="begin"/>
            </w:r>
            <w:r w:rsidR="006A3701">
              <w:rPr>
                <w:noProof/>
                <w:webHidden/>
              </w:rPr>
              <w:instrText xml:space="preserve"> PAGEREF _Toc489364428 \h </w:instrText>
            </w:r>
            <w:r w:rsidR="006A3701">
              <w:rPr>
                <w:noProof/>
                <w:webHidden/>
              </w:rPr>
            </w:r>
            <w:r w:rsidR="006A3701">
              <w:rPr>
                <w:noProof/>
                <w:webHidden/>
              </w:rPr>
              <w:fldChar w:fldCharType="separate"/>
            </w:r>
            <w:r w:rsidR="0019248E">
              <w:rPr>
                <w:noProof/>
                <w:webHidden/>
              </w:rPr>
              <w:t>22</w:t>
            </w:r>
            <w:r w:rsidR="006A3701">
              <w:rPr>
                <w:noProof/>
                <w:webHidden/>
              </w:rPr>
              <w:fldChar w:fldCharType="end"/>
            </w:r>
          </w:hyperlink>
        </w:p>
        <w:p w:rsidR="003758FE" w:rsidRPr="002E3B83" w:rsidRDefault="00B43C6B" w:rsidP="00E72867">
          <w:pPr>
            <w:pStyle w:val="TOC1"/>
          </w:pPr>
          <w:hyperlink w:anchor="_Toc489364429" w:history="1">
            <w:r w:rsidR="006A3701" w:rsidRPr="00E80E40">
              <w:rPr>
                <w:rStyle w:val="Hyperlink"/>
                <w:noProof/>
              </w:rPr>
              <w:t>13</w:t>
            </w:r>
            <w:r w:rsidR="006A3701">
              <w:rPr>
                <w:rFonts w:asciiTheme="minorHAnsi" w:eastAsiaTheme="minorEastAsia" w:hAnsiTheme="minorHAnsi" w:cstheme="minorBidi"/>
                <w:b w:val="0"/>
                <w:noProof/>
                <w:szCs w:val="22"/>
                <w:lang w:eastAsia="en-AU"/>
              </w:rPr>
              <w:tab/>
            </w:r>
            <w:r w:rsidR="006A3701" w:rsidRPr="00E80E40">
              <w:rPr>
                <w:rStyle w:val="Hyperlink"/>
                <w:noProof/>
              </w:rPr>
              <w:t>Document control</w:t>
            </w:r>
            <w:r w:rsidR="006A3701">
              <w:rPr>
                <w:noProof/>
                <w:webHidden/>
              </w:rPr>
              <w:tab/>
            </w:r>
            <w:r w:rsidR="006A3701">
              <w:rPr>
                <w:noProof/>
                <w:webHidden/>
              </w:rPr>
              <w:fldChar w:fldCharType="begin"/>
            </w:r>
            <w:r w:rsidR="006A3701">
              <w:rPr>
                <w:noProof/>
                <w:webHidden/>
              </w:rPr>
              <w:instrText xml:space="preserve"> PAGEREF _Toc489364429 \h </w:instrText>
            </w:r>
            <w:r w:rsidR="006A3701">
              <w:rPr>
                <w:noProof/>
                <w:webHidden/>
              </w:rPr>
            </w:r>
            <w:r w:rsidR="006A3701">
              <w:rPr>
                <w:noProof/>
                <w:webHidden/>
              </w:rPr>
              <w:fldChar w:fldCharType="separate"/>
            </w:r>
            <w:r w:rsidR="0019248E">
              <w:rPr>
                <w:noProof/>
                <w:webHidden/>
              </w:rPr>
              <w:t>24</w:t>
            </w:r>
            <w:r w:rsidR="006A3701">
              <w:rPr>
                <w:noProof/>
                <w:webHidden/>
              </w:rPr>
              <w:fldChar w:fldCharType="end"/>
            </w:r>
          </w:hyperlink>
          <w:r w:rsidR="003758FE" w:rsidRPr="002E3B83">
            <w:rPr>
              <w:b w:val="0"/>
              <w:bCs/>
              <w:noProof/>
            </w:rPr>
            <w:fldChar w:fldCharType="end"/>
          </w:r>
        </w:p>
      </w:sdtContent>
    </w:sdt>
    <w:p w:rsidR="00216DAC" w:rsidRDefault="00216DAC" w:rsidP="00E72867">
      <w:pPr>
        <w:spacing w:line="720" w:lineRule="auto"/>
      </w:pPr>
    </w:p>
    <w:p w:rsidR="00216DAC" w:rsidRPr="006A3701" w:rsidRDefault="00216DAC" w:rsidP="006307BC">
      <w:pPr>
        <w:rPr>
          <w:b/>
        </w:rPr>
      </w:pPr>
      <w:r w:rsidRPr="006A3701">
        <w:rPr>
          <w:b/>
        </w:rPr>
        <w:t>Authority</w:t>
      </w:r>
    </w:p>
    <w:p w:rsidR="00420C06" w:rsidRDefault="00B70CA7" w:rsidP="00420C06">
      <w:r>
        <w:t>Cloud c</w:t>
      </w:r>
      <w:r w:rsidR="00D13847">
        <w:t xml:space="preserve">omputing </w:t>
      </w:r>
      <w:r>
        <w:t>p</w:t>
      </w:r>
      <w:r w:rsidR="00D13847">
        <w:t>olicy</w:t>
      </w:r>
    </w:p>
    <w:p w:rsidR="00B70CA7" w:rsidRDefault="00D13847" w:rsidP="00420C06">
      <w:r w:rsidRPr="00AE5542">
        <w:rPr>
          <w:i/>
        </w:rPr>
        <w:t>Information Act</w:t>
      </w:r>
      <w:r>
        <w:t xml:space="preserve"> (including Schedule</w:t>
      </w:r>
      <w:r w:rsidR="00E34BFA">
        <w:t> </w:t>
      </w:r>
      <w:r w:rsidR="00B70CA7">
        <w:t>2: Information privacy p</w:t>
      </w:r>
      <w:r>
        <w:t>rinciples)</w:t>
      </w:r>
    </w:p>
    <w:p w:rsidR="00D13847" w:rsidRDefault="00D13847" w:rsidP="00420C06">
      <w:r>
        <w:t xml:space="preserve">Treasurer’s </w:t>
      </w:r>
      <w:r w:rsidR="00B70CA7">
        <w:t>d</w:t>
      </w:r>
      <w:r>
        <w:t xml:space="preserve">irections </w:t>
      </w:r>
      <w:r w:rsidR="00B70CA7">
        <w:t>ICT 1.2 ICT policies and s</w:t>
      </w:r>
      <w:r>
        <w:t>tandards</w:t>
      </w:r>
    </w:p>
    <w:p w:rsidR="008B3BCF" w:rsidRDefault="008B3BCF" w:rsidP="008B3BCF"/>
    <w:p w:rsidR="008A70AD" w:rsidRDefault="008A70AD">
      <w:pPr>
        <w:sectPr w:rsidR="008A70AD" w:rsidSect="0027218A">
          <w:headerReference w:type="even" r:id="rId12"/>
          <w:headerReference w:type="default" r:id="rId13"/>
          <w:headerReference w:type="first" r:id="rId14"/>
          <w:pgSz w:w="11906" w:h="16838" w:code="9"/>
          <w:pgMar w:top="1134" w:right="1134" w:bottom="1134" w:left="1134" w:header="709" w:footer="0" w:gutter="0"/>
          <w:cols w:space="708"/>
          <w:titlePg/>
          <w:docGrid w:linePitch="360"/>
        </w:sectPr>
      </w:pPr>
    </w:p>
    <w:p w:rsidR="00211203" w:rsidRDefault="0027218A" w:rsidP="0027218A">
      <w:pPr>
        <w:pStyle w:val="Heading1"/>
      </w:pPr>
      <w:bookmarkStart w:id="0" w:name="_Toc489364376"/>
      <w:bookmarkStart w:id="1" w:name="_Toc447101501"/>
      <w:r>
        <w:lastRenderedPageBreak/>
        <w:t xml:space="preserve">Policy </w:t>
      </w:r>
      <w:r w:rsidRPr="0027218A">
        <w:t>s</w:t>
      </w:r>
      <w:r w:rsidR="00211203" w:rsidRPr="0027218A">
        <w:t>tatement</w:t>
      </w:r>
      <w:bookmarkEnd w:id="0"/>
    </w:p>
    <w:p w:rsidR="002A3095" w:rsidRPr="009D2E12" w:rsidRDefault="002A3095" w:rsidP="0027218A">
      <w:r w:rsidRPr="00F3249D">
        <w:t xml:space="preserve">Agencies </w:t>
      </w:r>
      <w:r w:rsidRPr="009D2E12">
        <w:t xml:space="preserve">are to use computing solutions that best meet business requirements having </w:t>
      </w:r>
      <w:r>
        <w:t xml:space="preserve">due </w:t>
      </w:r>
      <w:r w:rsidRPr="009D2E12">
        <w:t>regard to:</w:t>
      </w:r>
    </w:p>
    <w:p w:rsidR="002A3095" w:rsidRPr="009D2E12" w:rsidRDefault="002A3095" w:rsidP="00E34BFA">
      <w:pPr>
        <w:pStyle w:val="NTGTableBulletList1"/>
      </w:pPr>
      <w:r w:rsidRPr="00E34BFA">
        <w:t>benefits</w:t>
      </w:r>
      <w:r w:rsidRPr="009D2E12">
        <w:t xml:space="preserve"> and value</w:t>
      </w:r>
    </w:p>
    <w:p w:rsidR="002A3095" w:rsidRPr="009D2E12" w:rsidRDefault="002A3095" w:rsidP="0027218A">
      <w:pPr>
        <w:pStyle w:val="NTGTableBulletList1"/>
      </w:pPr>
      <w:r w:rsidRPr="009D2E12">
        <w:t>risks and mitigations</w:t>
      </w:r>
    </w:p>
    <w:p w:rsidR="002A3095" w:rsidRPr="009D2E12" w:rsidRDefault="002A3095" w:rsidP="0027218A">
      <w:pPr>
        <w:pStyle w:val="NTGTableBulletList1"/>
      </w:pPr>
      <w:proofErr w:type="gramStart"/>
      <w:r w:rsidRPr="009D2E12">
        <w:t>protections</w:t>
      </w:r>
      <w:proofErr w:type="gramEnd"/>
      <w:r w:rsidRPr="009D2E12">
        <w:t xml:space="preserve"> and controls</w:t>
      </w:r>
      <w:r w:rsidR="0027218A">
        <w:t>.</w:t>
      </w:r>
    </w:p>
    <w:p w:rsidR="000D3600" w:rsidRPr="000D3600" w:rsidRDefault="000D3600" w:rsidP="0027218A">
      <w:pPr>
        <w:pStyle w:val="Heading1"/>
      </w:pPr>
      <w:bookmarkStart w:id="2" w:name="_Toc482699151"/>
      <w:bookmarkStart w:id="3" w:name="_Toc489364377"/>
      <w:bookmarkEnd w:id="2"/>
      <w:r w:rsidRPr="0027218A">
        <w:t>Purpose</w:t>
      </w:r>
      <w:bookmarkEnd w:id="1"/>
      <w:bookmarkEnd w:id="3"/>
    </w:p>
    <w:p w:rsidR="00653FC6" w:rsidRDefault="005D2845" w:rsidP="006307BC">
      <w:r>
        <w:t xml:space="preserve">This </w:t>
      </w:r>
      <w:r w:rsidR="00E34BFA">
        <w:t>s</w:t>
      </w:r>
      <w:r w:rsidR="00C22EB4">
        <w:t xml:space="preserve">tandard </w:t>
      </w:r>
      <w:r w:rsidR="000D3600">
        <w:t xml:space="preserve">specifies the accountability requirements </w:t>
      </w:r>
      <w:r w:rsidR="00B0542E">
        <w:t xml:space="preserve">and controls </w:t>
      </w:r>
      <w:r w:rsidR="000D3600">
        <w:t>for</w:t>
      </w:r>
      <w:r w:rsidR="00355248">
        <w:t xml:space="preserve"> cloud computing</w:t>
      </w:r>
      <w:r w:rsidR="000D3600">
        <w:t>.</w:t>
      </w:r>
      <w:r w:rsidR="00355248">
        <w:t xml:space="preserve"> This </w:t>
      </w:r>
      <w:r w:rsidR="00E34BFA">
        <w:t xml:space="preserve">standard </w:t>
      </w:r>
      <w:r w:rsidR="00355248">
        <w:t xml:space="preserve">is to be read in conjunction with the </w:t>
      </w:r>
      <w:r w:rsidR="00355248" w:rsidRPr="00B70CA7">
        <w:rPr>
          <w:b/>
        </w:rPr>
        <w:t>Cloud Computing Policy</w:t>
      </w:r>
      <w:r w:rsidR="00227ADC">
        <w:rPr>
          <w:b/>
        </w:rPr>
        <w:t xml:space="preserve"> </w:t>
      </w:r>
      <w:r w:rsidR="00355248">
        <w:t xml:space="preserve">and all other relevant laws and </w:t>
      </w:r>
      <w:r w:rsidR="00B70CA7">
        <w:t>g</w:t>
      </w:r>
      <w:r w:rsidR="00355248">
        <w:t xml:space="preserve">overnment regulations, policies or procedures listed in </w:t>
      </w:r>
      <w:r w:rsidR="00E34BFA">
        <w:t>s</w:t>
      </w:r>
      <w:r w:rsidR="0027218A">
        <w:t>ection </w:t>
      </w:r>
      <w:r w:rsidR="00561AF7">
        <w:t>12</w:t>
      </w:r>
      <w:r w:rsidR="001516EC">
        <w:t>.</w:t>
      </w:r>
    </w:p>
    <w:p w:rsidR="000D3600" w:rsidRDefault="00355248" w:rsidP="007B4F74">
      <w:pPr>
        <w:pStyle w:val="Heading1"/>
        <w:keepNext w:val="0"/>
        <w:widowControl w:val="0"/>
      </w:pPr>
      <w:bookmarkStart w:id="4" w:name="_Toc489364378"/>
      <w:r>
        <w:t>Definitions</w:t>
      </w:r>
      <w:bookmarkEnd w:id="4"/>
    </w:p>
    <w:p w:rsidR="00355248" w:rsidRDefault="00355248" w:rsidP="0027218A">
      <w:pPr>
        <w:pStyle w:val="Heading2"/>
      </w:pPr>
      <w:bookmarkStart w:id="5" w:name="_Toc489364379"/>
      <w:r w:rsidRPr="0027218A">
        <w:t>Cloud</w:t>
      </w:r>
      <w:r>
        <w:t xml:space="preserve"> computing</w:t>
      </w:r>
      <w:bookmarkEnd w:id="5"/>
    </w:p>
    <w:p w:rsidR="00370752" w:rsidRPr="00300510" w:rsidRDefault="00370752" w:rsidP="00AD700E">
      <w:pPr>
        <w:pStyle w:val="NumberedPara"/>
      </w:pPr>
      <w:r w:rsidRPr="00300510">
        <w:t xml:space="preserve">The NTG has adopted the definition of </w:t>
      </w:r>
      <w:r w:rsidR="00E34BFA" w:rsidRPr="00300510">
        <w:t>“</w:t>
      </w:r>
      <w:r w:rsidRPr="00300510">
        <w:t xml:space="preserve">cloud computing” used by the Australian Government. This in turn is adopted from the US Government’s National Institute of Standards and Technology (NIST) </w:t>
      </w:r>
      <w:r w:rsidR="00C64354" w:rsidRPr="00300510">
        <w:t xml:space="preserve">Definition of </w:t>
      </w:r>
      <w:r w:rsidR="00B70CA7">
        <w:t>cloud c</w:t>
      </w:r>
      <w:r w:rsidR="00C64354" w:rsidRPr="00300510">
        <w:t xml:space="preserve">omputing, </w:t>
      </w:r>
      <w:r w:rsidRPr="00300510">
        <w:t>which may be viewed in full at http://nvlpubs.nist.gov/nistpubs/Legacy/SP/nistspecialpublication800-145.pdf.</w:t>
      </w:r>
    </w:p>
    <w:p w:rsidR="00370752" w:rsidRPr="00300510" w:rsidRDefault="00370752" w:rsidP="00AD700E">
      <w:pPr>
        <w:pStyle w:val="NumberedPara"/>
      </w:pPr>
      <w:r w:rsidRPr="00300510">
        <w:t>In summary, cloud computing is a model for enabling convenient, on-demand network access to a shared pool of computing resources (e.g., networks, servers, storage, applications, website hosting and services) that can be rapidly accessed with minimal management effort or service provider interaction.</w:t>
      </w:r>
    </w:p>
    <w:p w:rsidR="00355248" w:rsidRDefault="00BD4676" w:rsidP="0027218A">
      <w:pPr>
        <w:pStyle w:val="Heading3"/>
      </w:pPr>
      <w:r w:rsidRPr="0027218A">
        <w:t>Essential</w:t>
      </w:r>
      <w:r>
        <w:t xml:space="preserve"> characteristics</w:t>
      </w:r>
    </w:p>
    <w:p w:rsidR="00355248" w:rsidRPr="00300510" w:rsidRDefault="00E34BFA" w:rsidP="00AD700E">
      <w:pPr>
        <w:pStyle w:val="NumberedPara"/>
        <w:numPr>
          <w:ilvl w:val="0"/>
          <w:numId w:val="19"/>
        </w:numPr>
      </w:pPr>
      <w:r w:rsidRPr="00C64354">
        <w:t xml:space="preserve">The </w:t>
      </w:r>
      <w:r w:rsidRPr="00300510">
        <w:t>five essential characteristics of cloud computing ar</w:t>
      </w:r>
      <w:r w:rsidR="00300510" w:rsidRPr="00300510">
        <w:t>e:</w:t>
      </w:r>
    </w:p>
    <w:p w:rsidR="00715C9E" w:rsidRPr="00300510" w:rsidRDefault="00B43C6B" w:rsidP="00B43C6B">
      <w:pPr>
        <w:pStyle w:val="NumberedPara"/>
        <w:numPr>
          <w:ilvl w:val="1"/>
          <w:numId w:val="18"/>
        </w:numPr>
      </w:pPr>
      <w:r>
        <w:t>o</w:t>
      </w:r>
      <w:r w:rsidR="00355248" w:rsidRPr="00300510">
        <w:t>n-demand self-service</w:t>
      </w:r>
      <w:r w:rsidR="0027218A" w:rsidRPr="00300510">
        <w:t xml:space="preserve"> – </w:t>
      </w:r>
      <w:r w:rsidR="00355248" w:rsidRPr="00300510">
        <w:t>a consumer can access computing capabilities (e.g. server time and network storage), as needed automatically</w:t>
      </w:r>
    </w:p>
    <w:p w:rsidR="00715C9E" w:rsidRPr="00300510" w:rsidRDefault="00B43C6B" w:rsidP="00B43C6B">
      <w:pPr>
        <w:pStyle w:val="NumberedPara"/>
        <w:numPr>
          <w:ilvl w:val="1"/>
          <w:numId w:val="18"/>
        </w:numPr>
      </w:pPr>
      <w:r>
        <w:t>b</w:t>
      </w:r>
      <w:r w:rsidR="00355248" w:rsidRPr="00300510">
        <w:t>road network access</w:t>
      </w:r>
      <w:r w:rsidR="0027218A" w:rsidRPr="00300510">
        <w:t xml:space="preserve"> – </w:t>
      </w:r>
      <w:r w:rsidR="00355248" w:rsidRPr="00300510">
        <w:t>capabilities are available over the network and accessed through standard devices (e.g., mobile phones, tablets, laptops, and workstations)</w:t>
      </w:r>
    </w:p>
    <w:p w:rsidR="00715C9E" w:rsidRPr="00300510" w:rsidRDefault="00B43C6B" w:rsidP="00B43C6B">
      <w:pPr>
        <w:pStyle w:val="NumberedPara"/>
        <w:numPr>
          <w:ilvl w:val="1"/>
          <w:numId w:val="18"/>
        </w:numPr>
      </w:pPr>
      <w:r>
        <w:t>r</w:t>
      </w:r>
      <w:r w:rsidR="00355248" w:rsidRPr="00300510">
        <w:t>esource pooling</w:t>
      </w:r>
      <w:r w:rsidR="0027218A" w:rsidRPr="00300510">
        <w:t xml:space="preserve"> – </w:t>
      </w:r>
      <w:r w:rsidR="00355248" w:rsidRPr="00300510">
        <w:t>the provider’s computing resources (e.g. storage, processing, memory, and network bandwidth) are pooled to serve multiple consumers</w:t>
      </w:r>
    </w:p>
    <w:p w:rsidR="00715C9E" w:rsidRPr="00300510" w:rsidRDefault="00B43C6B" w:rsidP="00B43C6B">
      <w:pPr>
        <w:pStyle w:val="NumberedPara"/>
        <w:numPr>
          <w:ilvl w:val="1"/>
          <w:numId w:val="18"/>
        </w:numPr>
      </w:pPr>
      <w:r>
        <w:t>s</w:t>
      </w:r>
      <w:r w:rsidR="00355248" w:rsidRPr="00300510">
        <w:t>calability on demand – capabilities provided to the consumer can be rapidly increased or decreased to meet demand</w:t>
      </w:r>
    </w:p>
    <w:p w:rsidR="00976C6E" w:rsidRPr="0027218A" w:rsidRDefault="00B43C6B" w:rsidP="00B43C6B">
      <w:pPr>
        <w:pStyle w:val="NumberedPara"/>
        <w:numPr>
          <w:ilvl w:val="1"/>
          <w:numId w:val="18"/>
        </w:numPr>
      </w:pPr>
      <w:proofErr w:type="gramStart"/>
      <w:r>
        <w:t>m</w:t>
      </w:r>
      <w:r w:rsidR="00355248" w:rsidRPr="00300510">
        <w:t>easured</w:t>
      </w:r>
      <w:proofErr w:type="gramEnd"/>
      <w:r w:rsidR="00355248" w:rsidRPr="00300510">
        <w:t xml:space="preserve"> service</w:t>
      </w:r>
      <w:r w:rsidR="0027218A" w:rsidRPr="00300510">
        <w:t xml:space="preserve"> – </w:t>
      </w:r>
      <w:r w:rsidR="00355248" w:rsidRPr="00300510">
        <w:t>cloud systems automatically control and optimize resource use through usage metering and reporting, providing transparency for the provider and consumer</w:t>
      </w:r>
      <w:r w:rsidR="00A65B41" w:rsidRPr="0027218A">
        <w:t>.</w:t>
      </w:r>
    </w:p>
    <w:p w:rsidR="00976C6E" w:rsidRDefault="00976C6E">
      <w:pPr>
        <w:spacing w:after="0"/>
      </w:pPr>
      <w:r>
        <w:br w:type="page"/>
      </w:r>
    </w:p>
    <w:p w:rsidR="00355248" w:rsidRDefault="00355248" w:rsidP="0027218A">
      <w:pPr>
        <w:pStyle w:val="Heading3"/>
      </w:pPr>
      <w:r>
        <w:lastRenderedPageBreak/>
        <w:t xml:space="preserve">Service </w:t>
      </w:r>
      <w:r w:rsidRPr="005D3825">
        <w:t>models</w:t>
      </w:r>
    </w:p>
    <w:p w:rsidR="00355248" w:rsidRPr="0027218A" w:rsidRDefault="00355248" w:rsidP="00AD700E">
      <w:pPr>
        <w:pStyle w:val="NumberedPara"/>
        <w:numPr>
          <w:ilvl w:val="0"/>
          <w:numId w:val="20"/>
        </w:numPr>
      </w:pPr>
      <w:r w:rsidRPr="0027218A">
        <w:t xml:space="preserve">The three </w:t>
      </w:r>
      <w:r w:rsidR="002A3095" w:rsidRPr="0027218A">
        <w:t xml:space="preserve">main </w:t>
      </w:r>
      <w:r w:rsidRPr="0027218A">
        <w:t>cloud computing service models are:</w:t>
      </w:r>
    </w:p>
    <w:p w:rsidR="00561AF7" w:rsidRPr="00300510" w:rsidRDefault="00B43C6B" w:rsidP="00AD700E">
      <w:pPr>
        <w:pStyle w:val="NumberedPara"/>
        <w:numPr>
          <w:ilvl w:val="1"/>
          <w:numId w:val="20"/>
        </w:numPr>
      </w:pPr>
      <w:r>
        <w:t>S</w:t>
      </w:r>
      <w:r w:rsidR="00976C6E" w:rsidRPr="00300510">
        <w:t xml:space="preserve">oftware as a </w:t>
      </w:r>
      <w:r w:rsidR="00B70CA7">
        <w:t>s</w:t>
      </w:r>
      <w:r w:rsidR="00976C6E" w:rsidRPr="00300510">
        <w:t>ervice</w:t>
      </w:r>
      <w:r w:rsidR="0027218A" w:rsidRPr="00300510">
        <w:t xml:space="preserve"> – </w:t>
      </w:r>
      <w:r w:rsidR="00976C6E" w:rsidRPr="00300510">
        <w:t>provision of software over a network rather than the software being loaded directly onto a locally available computer (for example, business ap</w:t>
      </w:r>
      <w:r w:rsidR="0027218A" w:rsidRPr="00300510">
        <w:t>plications and website hosting)</w:t>
      </w:r>
    </w:p>
    <w:p w:rsidR="00976C6E" w:rsidRPr="00300510" w:rsidRDefault="00B43C6B" w:rsidP="00AD700E">
      <w:pPr>
        <w:pStyle w:val="NumberedPara"/>
        <w:numPr>
          <w:ilvl w:val="1"/>
          <w:numId w:val="20"/>
        </w:numPr>
      </w:pPr>
      <w:r>
        <w:t>P</w:t>
      </w:r>
      <w:r w:rsidR="00976C6E" w:rsidRPr="00300510">
        <w:t xml:space="preserve">latform as a </w:t>
      </w:r>
      <w:r w:rsidR="00B70CA7">
        <w:t>s</w:t>
      </w:r>
      <w:r w:rsidR="00976C6E" w:rsidRPr="00300510">
        <w:t>ervice</w:t>
      </w:r>
      <w:r w:rsidR="0027218A" w:rsidRPr="00300510">
        <w:t xml:space="preserve"> – </w:t>
      </w:r>
      <w:r w:rsidR="00976C6E" w:rsidRPr="00300510">
        <w:t>provision of computing platforms that create the environment for other software to run (for example, operating systems) over a network rather than being loaded directly on</w:t>
      </w:r>
      <w:r w:rsidR="00A65B41" w:rsidRPr="00300510">
        <w:t>to a locally available computer</w:t>
      </w:r>
    </w:p>
    <w:p w:rsidR="00976C6E" w:rsidRPr="00300510" w:rsidRDefault="00B43C6B" w:rsidP="00AD700E">
      <w:pPr>
        <w:pStyle w:val="NumberedPara"/>
        <w:numPr>
          <w:ilvl w:val="1"/>
          <w:numId w:val="20"/>
        </w:numPr>
      </w:pPr>
      <w:r>
        <w:t>I</w:t>
      </w:r>
      <w:r w:rsidR="00976C6E" w:rsidRPr="00300510">
        <w:t xml:space="preserve">nfrastructure as a </w:t>
      </w:r>
      <w:r w:rsidR="00B70CA7">
        <w:t>s</w:t>
      </w:r>
      <w:r w:rsidR="00976C6E" w:rsidRPr="00300510">
        <w:t>ervice</w:t>
      </w:r>
      <w:r w:rsidR="0027218A" w:rsidRPr="00300510">
        <w:t xml:space="preserve"> – </w:t>
      </w:r>
      <w:r w:rsidR="00976C6E" w:rsidRPr="00300510">
        <w:t>provision of access to computer infrastructure (for example, data storage or processing capability) over a network that is used to complement local platform resources.</w:t>
      </w:r>
    </w:p>
    <w:p w:rsidR="00355248" w:rsidRDefault="00F77DA4" w:rsidP="0027218A">
      <w:pPr>
        <w:pStyle w:val="Heading3"/>
      </w:pPr>
      <w:r>
        <w:t>Deployment models</w:t>
      </w:r>
    </w:p>
    <w:p w:rsidR="00F77DA4" w:rsidRPr="00300510" w:rsidRDefault="00F77DA4" w:rsidP="00AD700E">
      <w:pPr>
        <w:pStyle w:val="NumberedPara"/>
        <w:numPr>
          <w:ilvl w:val="0"/>
          <w:numId w:val="21"/>
        </w:numPr>
      </w:pPr>
      <w:r w:rsidRPr="00300510">
        <w:t>The four cloud computing deployment models are:</w:t>
      </w:r>
    </w:p>
    <w:p w:rsidR="00715C9E" w:rsidRPr="00300510" w:rsidRDefault="00F77DA4" w:rsidP="00AD700E">
      <w:pPr>
        <w:pStyle w:val="NumberedPara"/>
        <w:numPr>
          <w:ilvl w:val="1"/>
          <w:numId w:val="21"/>
        </w:numPr>
      </w:pPr>
      <w:r w:rsidRPr="00300510">
        <w:t xml:space="preserve">Private cloud – use of the cloud infrastructure is restricted to a single organization comprising multiple consumers (for example, a single </w:t>
      </w:r>
      <w:r w:rsidR="0027218A" w:rsidRPr="00300510">
        <w:t>agency</w:t>
      </w:r>
      <w:r w:rsidRPr="00300510">
        <w:t>)</w:t>
      </w:r>
    </w:p>
    <w:p w:rsidR="00715C9E" w:rsidRPr="00300510" w:rsidRDefault="00F77DA4" w:rsidP="00AD700E">
      <w:pPr>
        <w:pStyle w:val="NumberedPara"/>
        <w:numPr>
          <w:ilvl w:val="1"/>
          <w:numId w:val="21"/>
        </w:numPr>
      </w:pPr>
      <w:r w:rsidRPr="00300510">
        <w:t xml:space="preserve">Community cloud </w:t>
      </w:r>
      <w:r w:rsidR="0027218A" w:rsidRPr="00300510">
        <w:t>–</w:t>
      </w:r>
      <w:r w:rsidRPr="00300510">
        <w:t xml:space="preserve"> the cloud infrastructure is used by a specific com</w:t>
      </w:r>
      <w:r w:rsidR="0027218A" w:rsidRPr="00300510">
        <w:t>munity of consumers from organis</w:t>
      </w:r>
      <w:r w:rsidRPr="00300510">
        <w:t>ations that have shared concerns (for exa</w:t>
      </w:r>
      <w:r w:rsidR="0027218A" w:rsidRPr="00300510">
        <w:t>mple, a range of government a</w:t>
      </w:r>
      <w:r w:rsidRPr="00300510">
        <w:t>gencies)</w:t>
      </w:r>
    </w:p>
    <w:p w:rsidR="00715C9E" w:rsidRPr="00300510" w:rsidRDefault="00F77DA4" w:rsidP="00AD700E">
      <w:pPr>
        <w:pStyle w:val="NumberedPara"/>
        <w:numPr>
          <w:ilvl w:val="1"/>
          <w:numId w:val="21"/>
        </w:numPr>
      </w:pPr>
      <w:r w:rsidRPr="00300510">
        <w:t xml:space="preserve">Public cloud </w:t>
      </w:r>
      <w:r w:rsidR="0027218A" w:rsidRPr="00300510">
        <w:t>–</w:t>
      </w:r>
      <w:r w:rsidRPr="00300510">
        <w:t xml:space="preserve"> the cloud infrastructure is used by the general public</w:t>
      </w:r>
    </w:p>
    <w:p w:rsidR="00F77DA4" w:rsidRPr="00300510" w:rsidRDefault="00F77DA4" w:rsidP="00AD700E">
      <w:pPr>
        <w:pStyle w:val="NumberedPara"/>
        <w:numPr>
          <w:ilvl w:val="1"/>
          <w:numId w:val="21"/>
        </w:numPr>
      </w:pPr>
      <w:r w:rsidRPr="00300510">
        <w:t xml:space="preserve">Hybrid cloud </w:t>
      </w:r>
      <w:r w:rsidR="0027218A" w:rsidRPr="00300510">
        <w:t>–</w:t>
      </w:r>
      <w:r w:rsidRPr="00300510">
        <w:t xml:space="preserve"> a composition of two or more of the above models, bound together by technology that enables them to operate interactively (i.e. by enabling data and application portability).</w:t>
      </w:r>
    </w:p>
    <w:p w:rsidR="000D3600" w:rsidRDefault="00F77DA4" w:rsidP="0027218A">
      <w:pPr>
        <w:pStyle w:val="Heading2"/>
      </w:pPr>
      <w:bookmarkStart w:id="6" w:name="_Toc489364380"/>
      <w:r>
        <w:t xml:space="preserve">External cloud </w:t>
      </w:r>
      <w:r w:rsidRPr="00A5619D">
        <w:t>service</w:t>
      </w:r>
      <w:bookmarkEnd w:id="6"/>
    </w:p>
    <w:p w:rsidR="00B70CA7" w:rsidRDefault="00E168D8" w:rsidP="00AD700E">
      <w:pPr>
        <w:pStyle w:val="NumberedPara"/>
        <w:numPr>
          <w:ilvl w:val="0"/>
          <w:numId w:val="22"/>
        </w:numPr>
      </w:pPr>
      <w:r>
        <w:t xml:space="preserve">For </w:t>
      </w:r>
      <w:r w:rsidRPr="0027218A">
        <w:t>the</w:t>
      </w:r>
      <w:r>
        <w:t xml:space="preserve"> purposes o</w:t>
      </w:r>
      <w:r w:rsidR="00E34BFA">
        <w:t>f this standard and the related p</w:t>
      </w:r>
      <w:r>
        <w:t xml:space="preserve">olicy, an external cloud service is any model which fits the definition of cloud computing in </w:t>
      </w:r>
      <w:r w:rsidR="00B70CA7">
        <w:t>section </w:t>
      </w:r>
      <w:r>
        <w:t>3.1, and which is not an NTG cloud service. This includes public and community cloud deployment models, as well as private deployment where the owner, manager or operator is a third party and not the NTG, and any hybrid of these models.</w:t>
      </w:r>
    </w:p>
    <w:p w:rsidR="000D3600" w:rsidRDefault="00F77DA4" w:rsidP="0027218A">
      <w:pPr>
        <w:pStyle w:val="Heading2"/>
      </w:pPr>
      <w:bookmarkStart w:id="7" w:name="_Toc489364381"/>
      <w:r>
        <w:t>NTG cloud service</w:t>
      </w:r>
      <w:bookmarkEnd w:id="7"/>
    </w:p>
    <w:p w:rsidR="008021DF" w:rsidRDefault="00F77DA4" w:rsidP="00AD700E">
      <w:pPr>
        <w:pStyle w:val="NumberedPara"/>
        <w:numPr>
          <w:ilvl w:val="0"/>
          <w:numId w:val="23"/>
        </w:numPr>
      </w:pPr>
      <w:r>
        <w:t xml:space="preserve">For the purposes of this </w:t>
      </w:r>
      <w:r w:rsidR="00E34BFA">
        <w:t>standard</w:t>
      </w:r>
      <w:r>
        <w:t xml:space="preserve"> and the related Policy, an </w:t>
      </w:r>
      <w:r w:rsidRPr="00AD700E">
        <w:rPr>
          <w:b/>
        </w:rPr>
        <w:t>NTG cloud service</w:t>
      </w:r>
      <w:r>
        <w:t xml:space="preserve"> is a cloud computing service hosted within the NTG ICT environment and owned, managed and </w:t>
      </w:r>
      <w:r w:rsidRPr="0027218A">
        <w:t>operated</w:t>
      </w:r>
      <w:r>
        <w:t xml:space="preserve"> solely by the NTG. For example, cloud computing services provided by the NTG’s Data Centre Services, such as data storage and backup services for NTG </w:t>
      </w:r>
      <w:r w:rsidR="0027218A">
        <w:t>agenc</w:t>
      </w:r>
      <w:r>
        <w:t>ies and website hosting.</w:t>
      </w:r>
    </w:p>
    <w:p w:rsidR="00EA3C81" w:rsidRPr="0027218A" w:rsidRDefault="00EA3C81" w:rsidP="0027218A">
      <w:bookmarkStart w:id="8" w:name="_Toc474493588"/>
      <w:r w:rsidRPr="0027218A">
        <w:br w:type="page"/>
      </w:r>
    </w:p>
    <w:p w:rsidR="00D50356" w:rsidRDefault="00E928E2" w:rsidP="0027218A">
      <w:pPr>
        <w:pStyle w:val="Heading1"/>
      </w:pPr>
      <w:bookmarkStart w:id="9" w:name="_Toc489364382"/>
      <w:r w:rsidRPr="0027218A">
        <w:lastRenderedPageBreak/>
        <w:t>Assessment</w:t>
      </w:r>
      <w:r>
        <w:t xml:space="preserve"> </w:t>
      </w:r>
      <w:r w:rsidR="002A3095">
        <w:t xml:space="preserve">of </w:t>
      </w:r>
      <w:r w:rsidR="00F77DA4">
        <w:t xml:space="preserve">cloud </w:t>
      </w:r>
      <w:r w:rsidR="002A3095">
        <w:t xml:space="preserve">computing </w:t>
      </w:r>
      <w:r w:rsidR="00F77DA4">
        <w:t>service</w:t>
      </w:r>
      <w:bookmarkEnd w:id="8"/>
      <w:r w:rsidR="002A3095">
        <w:t>s</w:t>
      </w:r>
      <w:bookmarkEnd w:id="9"/>
    </w:p>
    <w:p w:rsidR="00F77DA4" w:rsidRPr="00F77DA4" w:rsidRDefault="00F77DA4" w:rsidP="0027218A">
      <w:pPr>
        <w:pStyle w:val="Heading2"/>
      </w:pPr>
      <w:bookmarkStart w:id="10" w:name="_Toc474493589"/>
      <w:bookmarkStart w:id="11" w:name="_Toc489364383"/>
      <w:r>
        <w:t xml:space="preserve">Chief </w:t>
      </w:r>
      <w:r w:rsidR="00B70CA7">
        <w:t>e</w:t>
      </w:r>
      <w:r w:rsidRPr="0027218A">
        <w:t>xecutive</w:t>
      </w:r>
      <w:r>
        <w:t xml:space="preserve"> </w:t>
      </w:r>
      <w:proofErr w:type="gramStart"/>
      <w:r>
        <w:t>certification</w:t>
      </w:r>
      <w:bookmarkEnd w:id="10"/>
      <w:bookmarkEnd w:id="11"/>
      <w:proofErr w:type="gramEnd"/>
    </w:p>
    <w:p w:rsidR="00BD11BF" w:rsidRDefault="00F77DA4" w:rsidP="0027218A">
      <w:pPr>
        <w:pStyle w:val="Heading4"/>
      </w:pPr>
      <w:r>
        <w:t>Agency</w:t>
      </w:r>
      <w:r w:rsidR="00B70CA7">
        <w:t xml:space="preserve"> chief executive</w:t>
      </w:r>
      <w:r w:rsidR="002A3095">
        <w:t>s</w:t>
      </w:r>
      <w:r>
        <w:t xml:space="preserve"> </w:t>
      </w:r>
      <w:r w:rsidR="002A3095">
        <w:t xml:space="preserve">must decide the computing service solution that best </w:t>
      </w:r>
      <w:r w:rsidR="002A3095" w:rsidRPr="0027218A">
        <w:t>meets</w:t>
      </w:r>
      <w:r w:rsidR="002A3095">
        <w:t xml:space="preserve"> the </w:t>
      </w:r>
      <w:r w:rsidR="0027218A">
        <w:t>agency</w:t>
      </w:r>
      <w:r w:rsidR="002A3095">
        <w:t xml:space="preserve">’s business needs having considered appropriate due diligence investigations by the </w:t>
      </w:r>
      <w:r w:rsidR="0027218A">
        <w:t>agency</w:t>
      </w:r>
      <w:r w:rsidR="002A3095">
        <w:t>.</w:t>
      </w:r>
    </w:p>
    <w:p w:rsidR="00B70CA7" w:rsidRDefault="002A3095" w:rsidP="0027218A">
      <w:pPr>
        <w:pStyle w:val="Heading4"/>
      </w:pPr>
      <w:r>
        <w:t>Agency</w:t>
      </w:r>
      <w:r w:rsidR="00B70CA7">
        <w:t xml:space="preserve"> chief executive</w:t>
      </w:r>
      <w:r>
        <w:t xml:space="preserve">s must assure themselves that the controls specified in the </w:t>
      </w:r>
      <w:r w:rsidR="00B70CA7">
        <w:t>Cloud computing p</w:t>
      </w:r>
      <w:r w:rsidR="00E34BFA" w:rsidRPr="00B70CA7">
        <w:t xml:space="preserve">olicy </w:t>
      </w:r>
      <w:r w:rsidRPr="00B70CA7">
        <w:t xml:space="preserve">and </w:t>
      </w:r>
      <w:r w:rsidR="00B70CA7">
        <w:t>s</w:t>
      </w:r>
      <w:r w:rsidR="00E34BFA" w:rsidRPr="00B70CA7">
        <w:t xml:space="preserve">tandard </w:t>
      </w:r>
      <w:r>
        <w:t>are met and will continue to be met for the duration of the arrangement with the cloud service provider.</w:t>
      </w:r>
    </w:p>
    <w:p w:rsidR="002A3095" w:rsidRPr="0027218A" w:rsidRDefault="002A3095" w:rsidP="00AD700E">
      <w:pPr>
        <w:pStyle w:val="NumberedPara"/>
        <w:numPr>
          <w:ilvl w:val="0"/>
          <w:numId w:val="24"/>
        </w:numPr>
      </w:pPr>
      <w:r w:rsidRPr="0027218A">
        <w:t xml:space="preserve">Responsibility for the decision to adopt an external cloud service rests with the </w:t>
      </w:r>
      <w:r w:rsidR="0027218A">
        <w:t>agency</w:t>
      </w:r>
      <w:r w:rsidR="00B70CA7">
        <w:t xml:space="preserve"> chief executive</w:t>
      </w:r>
      <w:r w:rsidRPr="0027218A">
        <w:t xml:space="preserve">, who must be satisfied, on the basis of a thorough </w:t>
      </w:r>
      <w:r w:rsidR="00E928E2" w:rsidRPr="0027218A">
        <w:t xml:space="preserve">due diligence investigation including a </w:t>
      </w:r>
      <w:r w:rsidRPr="0027218A">
        <w:t xml:space="preserve">risk assessment, that the relevant service provides </w:t>
      </w:r>
      <w:r w:rsidR="00E928E2" w:rsidRPr="0027218A">
        <w:t xml:space="preserve">appropriate data </w:t>
      </w:r>
      <w:r w:rsidRPr="0027218A">
        <w:t xml:space="preserve">privacy, security, business </w:t>
      </w:r>
      <w:r w:rsidR="00E928E2" w:rsidRPr="0027218A">
        <w:t xml:space="preserve">benefits, </w:t>
      </w:r>
      <w:r w:rsidRPr="0027218A">
        <w:t>continuity and value for money.</w:t>
      </w:r>
    </w:p>
    <w:p w:rsidR="00F77DA4" w:rsidRPr="0027218A" w:rsidRDefault="0027564F" w:rsidP="00AD700E">
      <w:pPr>
        <w:pStyle w:val="NumberedPara"/>
        <w:numPr>
          <w:ilvl w:val="0"/>
          <w:numId w:val="24"/>
        </w:numPr>
      </w:pPr>
      <w:r w:rsidRPr="0027218A">
        <w:t>C</w:t>
      </w:r>
      <w:r w:rsidR="00F77DA4" w:rsidRPr="0027218A">
        <w:t>op</w:t>
      </w:r>
      <w:r w:rsidRPr="0027218A">
        <w:t>ies</w:t>
      </w:r>
      <w:r w:rsidR="00F77DA4" w:rsidRPr="0027218A">
        <w:t xml:space="preserve"> of the risk assessment required u</w:t>
      </w:r>
      <w:bookmarkStart w:id="12" w:name="_GoBack"/>
      <w:bookmarkEnd w:id="12"/>
      <w:r w:rsidR="00F77DA4" w:rsidRPr="0027218A">
        <w:t xml:space="preserve">nder </w:t>
      </w:r>
      <w:r w:rsidR="00E34BFA">
        <w:t>section </w:t>
      </w:r>
      <w:r w:rsidR="000B27C6" w:rsidRPr="0027218A">
        <w:t>4</w:t>
      </w:r>
      <w:r w:rsidR="00F77DA4" w:rsidRPr="0027218A">
        <w:t xml:space="preserve"> of this </w:t>
      </w:r>
      <w:r w:rsidR="00E34BFA">
        <w:t>standard</w:t>
      </w:r>
      <w:r w:rsidR="00A27242" w:rsidRPr="0027218A">
        <w:t>,</w:t>
      </w:r>
      <w:r w:rsidR="00F77DA4" w:rsidRPr="0027218A">
        <w:t xml:space="preserve"> the assessment or advice from NTG ICT Security, required under </w:t>
      </w:r>
      <w:r w:rsidR="00E34BFA">
        <w:t>section </w:t>
      </w:r>
      <w:r w:rsidR="000B27C6" w:rsidRPr="0027218A">
        <w:t>6</w:t>
      </w:r>
      <w:r w:rsidR="006D3E92" w:rsidRPr="0027218A">
        <w:t>.2</w:t>
      </w:r>
      <w:r w:rsidR="00F77DA4" w:rsidRPr="0027218A">
        <w:t xml:space="preserve">, </w:t>
      </w:r>
      <w:r w:rsidR="00A27242" w:rsidRPr="0027218A">
        <w:t xml:space="preserve">and the assessment or advice </w:t>
      </w:r>
      <w:r w:rsidRPr="0027218A">
        <w:t xml:space="preserve">of Privacy Requirements </w:t>
      </w:r>
      <w:r w:rsidR="00A27242" w:rsidRPr="0027218A">
        <w:t xml:space="preserve">required under </w:t>
      </w:r>
      <w:r w:rsidR="00E34BFA">
        <w:t>section </w:t>
      </w:r>
      <w:r w:rsidR="000B27C6" w:rsidRPr="0027218A">
        <w:t>5</w:t>
      </w:r>
      <w:r w:rsidR="00A27242" w:rsidRPr="0027218A">
        <w:t xml:space="preserve"> </w:t>
      </w:r>
      <w:r w:rsidRPr="0027218A">
        <w:t xml:space="preserve">are </w:t>
      </w:r>
      <w:r w:rsidR="00F77DA4" w:rsidRPr="0027218A">
        <w:t>to be provided to the</w:t>
      </w:r>
      <w:r w:rsidR="00E928E2" w:rsidRPr="0027218A">
        <w:t xml:space="preserve"> </w:t>
      </w:r>
      <w:r w:rsidR="0027218A">
        <w:t>agency</w:t>
      </w:r>
      <w:r w:rsidR="00B70CA7">
        <w:t xml:space="preserve"> chief executive</w:t>
      </w:r>
      <w:r w:rsidR="00F77DA4" w:rsidRPr="0027218A">
        <w:t xml:space="preserve"> to assist in making the decision.</w:t>
      </w:r>
    </w:p>
    <w:p w:rsidR="00E928E2" w:rsidRPr="0027218A" w:rsidRDefault="00E928E2" w:rsidP="00AD700E">
      <w:pPr>
        <w:pStyle w:val="NumberedPara"/>
        <w:numPr>
          <w:ilvl w:val="0"/>
          <w:numId w:val="24"/>
        </w:numPr>
      </w:pPr>
      <w:r w:rsidRPr="0027218A">
        <w:t xml:space="preserve">The above requirements apply regardless of the cost of the external cloud service and in each instance an </w:t>
      </w:r>
      <w:r w:rsidR="0027218A">
        <w:t>agency</w:t>
      </w:r>
      <w:r w:rsidRPr="0027218A">
        <w:t xml:space="preserve"> function is being considered for transition to or establishment with an external cloud service provider, including consideration of changing between external providers.</w:t>
      </w:r>
    </w:p>
    <w:p w:rsidR="007B4F74" w:rsidRDefault="00F77DA4" w:rsidP="00AD700E">
      <w:pPr>
        <w:pStyle w:val="NumberedPara"/>
        <w:numPr>
          <w:ilvl w:val="0"/>
          <w:numId w:val="24"/>
        </w:numPr>
      </w:pPr>
      <w:r w:rsidRPr="0027218A">
        <w:t xml:space="preserve">A checklist is included in </w:t>
      </w:r>
      <w:r w:rsidR="00B70CA7">
        <w:t>Appendix A</w:t>
      </w:r>
      <w:r w:rsidRPr="0027218A">
        <w:t xml:space="preserve"> to assist the </w:t>
      </w:r>
      <w:r w:rsidR="0027218A">
        <w:t>agency</w:t>
      </w:r>
      <w:r w:rsidR="00B70CA7">
        <w:t xml:space="preserve"> chief executive</w:t>
      </w:r>
      <w:r w:rsidRPr="0027218A">
        <w:t xml:space="preserve"> in </w:t>
      </w:r>
      <w:r w:rsidR="00E928E2" w:rsidRPr="0027218A">
        <w:t xml:space="preserve">identifying </w:t>
      </w:r>
      <w:r w:rsidRPr="0027218A">
        <w:t>assessment</w:t>
      </w:r>
      <w:r w:rsidR="00E928E2" w:rsidRPr="0027218A">
        <w:t xml:space="preserve"> elements and documentation</w:t>
      </w:r>
      <w:r w:rsidR="00E928E2">
        <w:t xml:space="preserve"> needed to make an informed decision</w:t>
      </w:r>
      <w:r>
        <w:t>.</w:t>
      </w:r>
    </w:p>
    <w:p w:rsidR="00F77DA4" w:rsidRDefault="00F77DA4" w:rsidP="0027218A">
      <w:pPr>
        <w:pStyle w:val="Heading2"/>
      </w:pPr>
      <w:bookmarkStart w:id="13" w:name="_Toc489364384"/>
      <w:r>
        <w:t xml:space="preserve">Risk </w:t>
      </w:r>
      <w:r w:rsidRPr="007C39D0">
        <w:t>assessment</w:t>
      </w:r>
      <w:bookmarkEnd w:id="13"/>
    </w:p>
    <w:p w:rsidR="00E014B8" w:rsidRDefault="00E014B8" w:rsidP="0027218A">
      <w:pPr>
        <w:pStyle w:val="Heading4"/>
      </w:pPr>
      <w:r>
        <w:t>Agencies must undertake a d</w:t>
      </w:r>
      <w:r w:rsidRPr="00805181">
        <w:t xml:space="preserve">etailed </w:t>
      </w:r>
      <w:r w:rsidR="00E928E2">
        <w:t xml:space="preserve">risk </w:t>
      </w:r>
      <w:r>
        <w:t>assessment</w:t>
      </w:r>
      <w:r w:rsidRPr="00805181">
        <w:t xml:space="preserve"> before</w:t>
      </w:r>
      <w:r>
        <w:t xml:space="preserve"> </w:t>
      </w:r>
      <w:r w:rsidRPr="00805181">
        <w:t xml:space="preserve">commencing </w:t>
      </w:r>
      <w:r>
        <w:t xml:space="preserve">a </w:t>
      </w:r>
      <w:r w:rsidRPr="00805181">
        <w:t xml:space="preserve">project </w:t>
      </w:r>
      <w:r>
        <w:t xml:space="preserve">to establish or transfer to an external cloud services provider in </w:t>
      </w:r>
      <w:r w:rsidRPr="00805181">
        <w:t>accord</w:t>
      </w:r>
      <w:r w:rsidR="007C39D0">
        <w:t>ance</w:t>
      </w:r>
      <w:r w:rsidRPr="00805181">
        <w:t xml:space="preserve"> with the</w:t>
      </w:r>
      <w:r>
        <w:t xml:space="preserve"> ICT project requireme</w:t>
      </w:r>
      <w:r w:rsidR="00B70CA7">
        <w:t>nts set out in the Treasurer’s d</w:t>
      </w:r>
      <w:r>
        <w:t>irections.</w:t>
      </w:r>
    </w:p>
    <w:p w:rsidR="00F77DA4" w:rsidRPr="0027218A" w:rsidRDefault="00E928E2" w:rsidP="00AD700E">
      <w:pPr>
        <w:pStyle w:val="NumberedPara"/>
        <w:numPr>
          <w:ilvl w:val="0"/>
          <w:numId w:val="25"/>
        </w:numPr>
      </w:pPr>
      <w:r>
        <w:t>W</w:t>
      </w:r>
      <w:r w:rsidR="00F77DA4">
        <w:t xml:space="preserve">here </w:t>
      </w:r>
      <w:r w:rsidR="0027218A">
        <w:t>agenc</w:t>
      </w:r>
      <w:r w:rsidR="00F77DA4">
        <w:t xml:space="preserve">ies are making substantial business decisions and particularly where control of NTG information and processes is being considered to move to an external </w:t>
      </w:r>
      <w:r w:rsidR="00F77DA4" w:rsidRPr="0027218A">
        <w:t xml:space="preserve">entity, a full assessment of the risks is necessary. NTG </w:t>
      </w:r>
      <w:r w:rsidR="0027218A">
        <w:t>agenc</w:t>
      </w:r>
      <w:r w:rsidR="00F77DA4" w:rsidRPr="0027218A">
        <w:t xml:space="preserve">ies have a responsibility to the community and a duty of care to their clients to protect client data and to deliver reliable and suitable government services. Agency clients and the community expect government to manage and will hold the NTG to account for the quality of service delivery, including data protection; irrespective of the methods </w:t>
      </w:r>
      <w:r w:rsidR="0027218A">
        <w:t>agenc</w:t>
      </w:r>
      <w:r w:rsidR="00F77DA4" w:rsidRPr="0027218A">
        <w:t>ies employ for this purpose.</w:t>
      </w:r>
    </w:p>
    <w:p w:rsidR="00F77DA4" w:rsidRPr="0027218A" w:rsidRDefault="00F77DA4" w:rsidP="00AD700E">
      <w:pPr>
        <w:pStyle w:val="NumberedPara"/>
        <w:numPr>
          <w:ilvl w:val="0"/>
          <w:numId w:val="25"/>
        </w:numPr>
      </w:pPr>
      <w:r w:rsidRPr="0027218A">
        <w:t xml:space="preserve">Agencies need to fully understand the risks and benefits with external cloud computing from an end-user, </w:t>
      </w:r>
      <w:r w:rsidR="0027218A">
        <w:t>agency</w:t>
      </w:r>
      <w:r w:rsidRPr="0027218A">
        <w:t xml:space="preserve"> and NTG perspective.</w:t>
      </w:r>
    </w:p>
    <w:p w:rsidR="00F77DA4" w:rsidRDefault="00F77DA4" w:rsidP="00AD700E">
      <w:pPr>
        <w:pStyle w:val="NumberedPara"/>
        <w:numPr>
          <w:ilvl w:val="0"/>
          <w:numId w:val="25"/>
        </w:numPr>
      </w:pPr>
      <w:r w:rsidRPr="0027218A">
        <w:t>This risk assessment is to be documented</w:t>
      </w:r>
      <w:r w:rsidR="00E928E2" w:rsidRPr="0027218A">
        <w:t xml:space="preserve"> and</w:t>
      </w:r>
      <w:r w:rsidRPr="0027218A">
        <w:t xml:space="preserve"> provided to the </w:t>
      </w:r>
      <w:r w:rsidR="0027218A">
        <w:t>agency</w:t>
      </w:r>
      <w:r w:rsidR="00B70CA7">
        <w:t xml:space="preserve"> chief executive</w:t>
      </w:r>
      <w:r w:rsidRPr="0027218A">
        <w:t xml:space="preserve"> to consider in providing certification under </w:t>
      </w:r>
      <w:r w:rsidR="00E34BFA">
        <w:t>section </w:t>
      </w:r>
      <w:r w:rsidR="007C39D0" w:rsidRPr="0027218A">
        <w:t>4.1</w:t>
      </w:r>
      <w:r w:rsidRPr="0027218A">
        <w:t xml:space="preserve"> of this </w:t>
      </w:r>
      <w:r w:rsidR="00E34BFA">
        <w:t>standard</w:t>
      </w:r>
      <w:r w:rsidRPr="0027218A">
        <w:t xml:space="preserve"> and recorded in the external cloud services</w:t>
      </w:r>
      <w:r>
        <w:t xml:space="preserve"> register under </w:t>
      </w:r>
      <w:r w:rsidR="00E34BFA">
        <w:t>section </w:t>
      </w:r>
      <w:r w:rsidR="007C39D0">
        <w:t>10.</w:t>
      </w:r>
    </w:p>
    <w:p w:rsidR="00904020" w:rsidRDefault="00904020" w:rsidP="0027218A">
      <w:pPr>
        <w:pStyle w:val="Heading2"/>
      </w:pPr>
      <w:bookmarkStart w:id="14" w:name="_Toc474493591"/>
      <w:bookmarkStart w:id="15" w:name="_Toc489364385"/>
      <w:r>
        <w:lastRenderedPageBreak/>
        <w:t xml:space="preserve">Risk </w:t>
      </w:r>
      <w:r w:rsidRPr="0027218A">
        <w:t>mitigation</w:t>
      </w:r>
      <w:bookmarkEnd w:id="14"/>
      <w:bookmarkEnd w:id="15"/>
    </w:p>
    <w:p w:rsidR="00904020" w:rsidRDefault="00904020" w:rsidP="0027218A">
      <w:pPr>
        <w:pStyle w:val="Heading4"/>
      </w:pPr>
      <w:r>
        <w:t xml:space="preserve">Agencies must consider and implement appropriate mitigations to </w:t>
      </w:r>
      <w:r w:rsidR="00E928E2">
        <w:t xml:space="preserve">reduce or eliminate the likelihood and/or impact of </w:t>
      </w:r>
      <w:r w:rsidR="00FD32F7">
        <w:t xml:space="preserve">identified </w:t>
      </w:r>
      <w:r>
        <w:t>risk</w:t>
      </w:r>
      <w:r w:rsidR="00E928E2">
        <w:t>s</w:t>
      </w:r>
      <w:r w:rsidR="00FD32F7">
        <w:t>.</w:t>
      </w:r>
    </w:p>
    <w:p w:rsidR="00E928E2" w:rsidRPr="0027218A" w:rsidRDefault="00E928E2" w:rsidP="00AD700E">
      <w:pPr>
        <w:pStyle w:val="NumberedPara"/>
        <w:numPr>
          <w:ilvl w:val="0"/>
          <w:numId w:val="26"/>
        </w:numPr>
      </w:pPr>
      <w:r w:rsidRPr="0027218A">
        <w:t xml:space="preserve">Where the risk assessment at 4.2 results in the </w:t>
      </w:r>
      <w:r w:rsidR="0027218A">
        <w:t>agency</w:t>
      </w:r>
      <w:r w:rsidRPr="0027218A">
        <w:t xml:space="preserve"> considering that use of the cloud services provider remains appropriate in their circumstances, the </w:t>
      </w:r>
      <w:r w:rsidR="0027218A">
        <w:t>agency</w:t>
      </w:r>
      <w:r w:rsidRPr="0027218A">
        <w:t xml:space="preserve"> must develop, document and implement mitigation actions that will reduce or contain the identified risks to levels that are acceptable to the </w:t>
      </w:r>
      <w:r w:rsidR="0027218A">
        <w:t>agency</w:t>
      </w:r>
      <w:r w:rsidRPr="0027218A">
        <w:t>.</w:t>
      </w:r>
    </w:p>
    <w:p w:rsidR="00904020" w:rsidRDefault="00B34681" w:rsidP="0027218A">
      <w:pPr>
        <w:pStyle w:val="Heading2"/>
      </w:pPr>
      <w:bookmarkStart w:id="16" w:name="_Toc474493592"/>
      <w:bookmarkStart w:id="17" w:name="_Toc489364386"/>
      <w:r>
        <w:t>R</w:t>
      </w:r>
      <w:r w:rsidR="00904020">
        <w:t>e-use of existing service</w:t>
      </w:r>
      <w:bookmarkEnd w:id="16"/>
      <w:r>
        <w:t>s</w:t>
      </w:r>
      <w:bookmarkEnd w:id="17"/>
    </w:p>
    <w:p w:rsidR="00B70CA7" w:rsidRDefault="00904020" w:rsidP="0027218A">
      <w:pPr>
        <w:pStyle w:val="Heading4"/>
      </w:pPr>
      <w:r w:rsidRPr="002A3095">
        <w:t>Agencies must maximise</w:t>
      </w:r>
      <w:r w:rsidRPr="00F83A83">
        <w:t xml:space="preserve"> common solutions and processes through sourcing ICT solutions that service the needs of all or multiple </w:t>
      </w:r>
      <w:r w:rsidR="0027218A">
        <w:t>agenc</w:t>
      </w:r>
      <w:r w:rsidRPr="00F83A83">
        <w:t>ies and the community</w:t>
      </w:r>
      <w:r w:rsidR="00B34681">
        <w:t xml:space="preserve"> (</w:t>
      </w:r>
      <w:r w:rsidR="00B70CA7">
        <w:t>Treasurer’s d</w:t>
      </w:r>
      <w:r w:rsidR="00B34681" w:rsidRPr="002A3095">
        <w:t>irection ICT</w:t>
      </w:r>
      <w:r w:rsidR="00B70CA7">
        <w:t> </w:t>
      </w:r>
      <w:r w:rsidR="00B34681" w:rsidRPr="002A3095">
        <w:t>1.3.2</w:t>
      </w:r>
      <w:r w:rsidR="00B34681">
        <w:t xml:space="preserve"> refers)</w:t>
      </w:r>
      <w:r w:rsidRPr="00F83A83">
        <w:t>.</w:t>
      </w:r>
    </w:p>
    <w:p w:rsidR="00452D4B" w:rsidRPr="0027218A" w:rsidRDefault="00904020" w:rsidP="00AD700E">
      <w:pPr>
        <w:pStyle w:val="NumberedPara"/>
        <w:numPr>
          <w:ilvl w:val="0"/>
          <w:numId w:val="27"/>
        </w:numPr>
      </w:pPr>
      <w:r w:rsidRPr="0027218A">
        <w:t>Agencies share ICT similarities across government and reus</w:t>
      </w:r>
      <w:r w:rsidR="007C39D0" w:rsidRPr="0027218A">
        <w:t>ing</w:t>
      </w:r>
      <w:r w:rsidRPr="0027218A">
        <w:t xml:space="preserve"> or sharing of solutions</w:t>
      </w:r>
      <w:r w:rsidR="00B34681" w:rsidRPr="0027218A">
        <w:t xml:space="preserve"> is</w:t>
      </w:r>
      <w:r w:rsidRPr="0027218A">
        <w:t xml:space="preserve"> the default position. Standardisation for any major investments in ICT systems is required unless the </w:t>
      </w:r>
      <w:r w:rsidR="0027218A">
        <w:t>agency</w:t>
      </w:r>
      <w:r w:rsidRPr="0027218A">
        <w:t xml:space="preserve"> has unique or specialised business needs.</w:t>
      </w:r>
      <w:bookmarkStart w:id="18" w:name="_Toc474493593"/>
    </w:p>
    <w:p w:rsidR="00B34681" w:rsidRPr="0027218A" w:rsidRDefault="00B34681" w:rsidP="00AD700E">
      <w:pPr>
        <w:pStyle w:val="NumberedPara"/>
        <w:numPr>
          <w:ilvl w:val="0"/>
          <w:numId w:val="27"/>
        </w:numPr>
      </w:pPr>
      <w:r w:rsidRPr="0027218A">
        <w:t xml:space="preserve">Agencies can leverage existing external cloud services provided to other </w:t>
      </w:r>
      <w:r w:rsidR="0027218A">
        <w:t>agenc</w:t>
      </w:r>
      <w:r w:rsidRPr="0027218A">
        <w:t>ies to obtain better value for government, where the services are suitable and the risk assessment supports this approach.</w:t>
      </w:r>
    </w:p>
    <w:p w:rsidR="00904020" w:rsidRDefault="00904020" w:rsidP="0027218A">
      <w:pPr>
        <w:pStyle w:val="Heading2"/>
      </w:pPr>
      <w:bookmarkStart w:id="19" w:name="_Toc489364387"/>
      <w:r>
        <w:t xml:space="preserve">Use of NTG cloud </w:t>
      </w:r>
      <w:r w:rsidRPr="00C4280D">
        <w:t>service</w:t>
      </w:r>
      <w:bookmarkEnd w:id="18"/>
      <w:bookmarkEnd w:id="19"/>
    </w:p>
    <w:p w:rsidR="00904020" w:rsidRDefault="00904020" w:rsidP="0027218A">
      <w:pPr>
        <w:pStyle w:val="Heading4"/>
      </w:pPr>
      <w:r>
        <w:t>A</w:t>
      </w:r>
      <w:r w:rsidDel="00F83A83">
        <w:t>gencies must give due consideration to use of the NTG cloud service as a</w:t>
      </w:r>
      <w:r>
        <w:t xml:space="preserve"> </w:t>
      </w:r>
      <w:r w:rsidR="00B34681">
        <w:t xml:space="preserve">computing </w:t>
      </w:r>
      <w:r>
        <w:t>service</w:t>
      </w:r>
      <w:r w:rsidR="00B34681">
        <w:t xml:space="preserve"> solution</w:t>
      </w:r>
      <w:r w:rsidDel="00F83A83">
        <w:t>.</w:t>
      </w:r>
    </w:p>
    <w:p w:rsidR="00B34681" w:rsidRPr="0027218A" w:rsidRDefault="00904020" w:rsidP="00AD700E">
      <w:pPr>
        <w:pStyle w:val="NumberedPara"/>
        <w:numPr>
          <w:ilvl w:val="0"/>
          <w:numId w:val="28"/>
        </w:numPr>
      </w:pPr>
      <w:r w:rsidRPr="0027218A">
        <w:t>The NTG cloud service operates within the NTG ICT environment, within its firewalls, and the data centre</w:t>
      </w:r>
      <w:r w:rsidR="00B34681" w:rsidRPr="0027218A">
        <w:t>s</w:t>
      </w:r>
      <w:r w:rsidRPr="0027218A">
        <w:t xml:space="preserve"> at which information is stored </w:t>
      </w:r>
      <w:r w:rsidR="00B34681" w:rsidRPr="0027218A">
        <w:t>are</w:t>
      </w:r>
      <w:r w:rsidRPr="0027218A">
        <w:t xml:space="preserve"> located in the Northern Territory and owned by the N</w:t>
      </w:r>
      <w:r w:rsidR="00E34BFA">
        <w:t xml:space="preserve">TG. As information is stored on </w:t>
      </w:r>
      <w:r w:rsidRPr="0027218A">
        <w:t>premise, the NTG has a far greater degree of control over information stored in the NTG cloud service</w:t>
      </w:r>
      <w:r w:rsidR="00B34681" w:rsidRPr="0027218A">
        <w:t>, with known standards of</w:t>
      </w:r>
      <w:r w:rsidRPr="0027218A">
        <w:t xml:space="preserve"> data governance and confidentiality.</w:t>
      </w:r>
    </w:p>
    <w:p w:rsidR="00B70CA7" w:rsidRDefault="00904020" w:rsidP="00AD700E">
      <w:pPr>
        <w:pStyle w:val="NumberedPara"/>
        <w:numPr>
          <w:ilvl w:val="0"/>
          <w:numId w:val="28"/>
        </w:numPr>
      </w:pPr>
      <w:r w:rsidRPr="0027218A">
        <w:t xml:space="preserve">The NTG cloud service is simpler from legal and contractual perspectives with </w:t>
      </w:r>
      <w:r w:rsidR="007C39D0" w:rsidRPr="0027218A">
        <w:t xml:space="preserve">surety of control and </w:t>
      </w:r>
      <w:r w:rsidRPr="0027218A">
        <w:t>no commercial risk</w:t>
      </w:r>
      <w:r w:rsidR="007C39D0" w:rsidRPr="0027218A">
        <w:t>.</w:t>
      </w:r>
    </w:p>
    <w:p w:rsidR="00904020" w:rsidRPr="0027218A" w:rsidRDefault="00904020" w:rsidP="00AD700E">
      <w:pPr>
        <w:pStyle w:val="NumberedPara"/>
        <w:numPr>
          <w:ilvl w:val="0"/>
          <w:numId w:val="28"/>
        </w:numPr>
      </w:pPr>
      <w:r w:rsidRPr="0027218A">
        <w:t>Integration and effective operation within and across the NTG’s ICT network is delivered with this service.</w:t>
      </w:r>
    </w:p>
    <w:p w:rsidR="0027218A" w:rsidRPr="0027218A" w:rsidRDefault="0027218A" w:rsidP="0027218A">
      <w:bookmarkStart w:id="20" w:name="_Toc482699163"/>
      <w:bookmarkStart w:id="21" w:name="_Toc482699164"/>
      <w:bookmarkStart w:id="22" w:name="_Toc452040366"/>
      <w:bookmarkStart w:id="23" w:name="_Toc452043771"/>
      <w:bookmarkStart w:id="24" w:name="_Toc452111675"/>
      <w:bookmarkEnd w:id="20"/>
      <w:bookmarkEnd w:id="21"/>
      <w:bookmarkEnd w:id="22"/>
      <w:bookmarkEnd w:id="23"/>
      <w:bookmarkEnd w:id="24"/>
      <w:r w:rsidRPr="0027218A">
        <w:br w:type="page"/>
      </w:r>
    </w:p>
    <w:p w:rsidR="00132F92" w:rsidRDefault="00904020">
      <w:pPr>
        <w:pStyle w:val="Heading1"/>
      </w:pPr>
      <w:bookmarkStart w:id="25" w:name="_Toc489364388"/>
      <w:r>
        <w:lastRenderedPageBreak/>
        <w:t xml:space="preserve">Privacy </w:t>
      </w:r>
      <w:r w:rsidRPr="007C39D0">
        <w:t>requirements</w:t>
      </w:r>
      <w:bookmarkEnd w:id="25"/>
    </w:p>
    <w:p w:rsidR="00B70CA7" w:rsidRDefault="00BA3616" w:rsidP="0027218A">
      <w:pPr>
        <w:pStyle w:val="Heading2"/>
      </w:pPr>
      <w:bookmarkStart w:id="26" w:name="_Toc489364389"/>
      <w:r>
        <w:t>Personal information</w:t>
      </w:r>
      <w:bookmarkEnd w:id="26"/>
    </w:p>
    <w:p w:rsidR="008A70AD" w:rsidRDefault="00C5542B" w:rsidP="0027218A">
      <w:pPr>
        <w:pStyle w:val="Heading4"/>
      </w:pPr>
      <w:bookmarkStart w:id="27" w:name="_Toc452040368"/>
      <w:bookmarkStart w:id="28" w:name="_Toc452043773"/>
      <w:bookmarkStart w:id="29" w:name="_Toc452111677"/>
      <w:bookmarkStart w:id="30" w:name="_Toc452040369"/>
      <w:bookmarkStart w:id="31" w:name="_Toc452043774"/>
      <w:bookmarkStart w:id="32" w:name="_Toc452111678"/>
      <w:bookmarkStart w:id="33" w:name="_Toc447101510"/>
      <w:bookmarkEnd w:id="27"/>
      <w:bookmarkEnd w:id="28"/>
      <w:bookmarkEnd w:id="29"/>
      <w:bookmarkEnd w:id="30"/>
      <w:bookmarkEnd w:id="31"/>
      <w:bookmarkEnd w:id="32"/>
      <w:r>
        <w:t>Agencies must consult the information c</w:t>
      </w:r>
      <w:r w:rsidR="008A70AD">
        <w:t xml:space="preserve">ommissioner </w:t>
      </w:r>
      <w:r w:rsidR="008A70AD" w:rsidRPr="00E14B02">
        <w:t>or seek legal advice</w:t>
      </w:r>
      <w:r w:rsidR="008A70AD">
        <w:t xml:space="preserve"> </w:t>
      </w:r>
      <w:r w:rsidR="003141F5">
        <w:t>where</w:t>
      </w:r>
      <w:r w:rsidR="008A70AD">
        <w:t xml:space="preserve"> personal information is </w:t>
      </w:r>
      <w:r w:rsidR="00BA3616">
        <w:t xml:space="preserve">proposed </w:t>
      </w:r>
      <w:r w:rsidR="008A70AD">
        <w:t>to be stored with an external cloud services provider.</w:t>
      </w:r>
    </w:p>
    <w:p w:rsidR="00904020" w:rsidRDefault="00904020" w:rsidP="00AD700E">
      <w:pPr>
        <w:pStyle w:val="NumberedPara"/>
        <w:numPr>
          <w:ilvl w:val="0"/>
          <w:numId w:val="29"/>
        </w:numPr>
      </w:pPr>
      <w:r>
        <w:t xml:space="preserve">The </w:t>
      </w:r>
      <w:r w:rsidRPr="00DC0378">
        <w:t>Northern Territory</w:t>
      </w:r>
      <w:r w:rsidRPr="00AD700E">
        <w:rPr>
          <w:i/>
        </w:rPr>
        <w:t xml:space="preserve"> Information Act</w:t>
      </w:r>
      <w:r>
        <w:t xml:space="preserve"> regulates the collection, use and storage of personal information by public sector organisations.</w:t>
      </w:r>
      <w:r w:rsidRPr="00B164CB">
        <w:t xml:space="preserve"> </w:t>
      </w:r>
      <w:r w:rsidR="00E34BFA">
        <w:t>Schedule </w:t>
      </w:r>
      <w:r>
        <w:t xml:space="preserve">2 of the </w:t>
      </w:r>
      <w:r w:rsidRPr="00AD700E">
        <w:rPr>
          <w:i/>
        </w:rPr>
        <w:t>Information Act</w:t>
      </w:r>
      <w:r w:rsidR="00C5542B">
        <w:t xml:space="preserve"> prescribes i</w:t>
      </w:r>
      <w:r>
        <w:t xml:space="preserve">nformation </w:t>
      </w:r>
      <w:r w:rsidR="00C5542B">
        <w:t>privacy p</w:t>
      </w:r>
      <w:r>
        <w:t>rinciples (IPPs) that regulate the manner in which personal information may be dealt with, including obligations to protect and access personal information, and limitations on the trans</w:t>
      </w:r>
      <w:r w:rsidR="007B4F74">
        <w:t>-</w:t>
      </w:r>
      <w:r>
        <w:t>border data flow of personal information.</w:t>
      </w:r>
    </w:p>
    <w:p w:rsidR="00904020" w:rsidRDefault="00904020" w:rsidP="00AD700E">
      <w:pPr>
        <w:pStyle w:val="NumberedPara"/>
        <w:numPr>
          <w:ilvl w:val="0"/>
          <w:numId w:val="29"/>
        </w:numPr>
      </w:pPr>
      <w:r>
        <w:t>“Personal information” is defined as g</w:t>
      </w:r>
      <w:r w:rsidRPr="00425DDB">
        <w:t>overnment information that discloses a person's identity or from which a person's identity is reasonably ascer</w:t>
      </w:r>
      <w:r>
        <w:t>tainable.</w:t>
      </w:r>
      <w:r>
        <w:rPr>
          <w:rStyle w:val="FootnoteReference"/>
        </w:rPr>
        <w:footnoteReference w:id="2"/>
      </w:r>
    </w:p>
    <w:p w:rsidR="00904020" w:rsidRDefault="00904020" w:rsidP="0027218A">
      <w:pPr>
        <w:pStyle w:val="Heading4"/>
      </w:pPr>
      <w:r>
        <w:t>Agencies must consider and implement appropriate mitigation</w:t>
      </w:r>
      <w:r w:rsidR="003141F5">
        <w:t xml:space="preserve"> actions</w:t>
      </w:r>
      <w:r>
        <w:t xml:space="preserve"> to </w:t>
      </w:r>
      <w:r w:rsidR="003141F5">
        <w:t xml:space="preserve">address </w:t>
      </w:r>
      <w:r>
        <w:t xml:space="preserve">risks relevant to </w:t>
      </w:r>
      <w:r w:rsidR="003141F5">
        <w:t xml:space="preserve">data </w:t>
      </w:r>
      <w:r>
        <w:t>privacy</w:t>
      </w:r>
      <w:r w:rsidR="007C39D0">
        <w:t>.</w:t>
      </w:r>
    </w:p>
    <w:p w:rsidR="0027564F" w:rsidRPr="0027218A" w:rsidRDefault="0027564F" w:rsidP="00AD700E">
      <w:pPr>
        <w:pStyle w:val="NumberedPara"/>
        <w:numPr>
          <w:ilvl w:val="0"/>
          <w:numId w:val="30"/>
        </w:numPr>
      </w:pPr>
      <w:r w:rsidRPr="0027218A">
        <w:t xml:space="preserve">The </w:t>
      </w:r>
      <w:r w:rsidR="00C5542B">
        <w:t>p</w:t>
      </w:r>
      <w:r w:rsidRPr="0027218A">
        <w:t xml:space="preserve">rivacy </w:t>
      </w:r>
      <w:r w:rsidR="00C5542B">
        <w:t>a</w:t>
      </w:r>
      <w:r w:rsidRPr="0027218A">
        <w:t>ssessment or advice should be undertaken at the earliest possible opportunity.</w:t>
      </w:r>
    </w:p>
    <w:p w:rsidR="003141F5" w:rsidRDefault="003141F5" w:rsidP="0027218A">
      <w:pPr>
        <w:pStyle w:val="Heading2"/>
      </w:pPr>
      <w:bookmarkStart w:id="34" w:name="_Toc489364390"/>
      <w:r>
        <w:t>Privacy and confidentiality</w:t>
      </w:r>
      <w:bookmarkEnd w:id="34"/>
    </w:p>
    <w:p w:rsidR="003141F5" w:rsidRPr="00221145" w:rsidRDefault="003141F5" w:rsidP="0027218A">
      <w:pPr>
        <w:pStyle w:val="Heading4"/>
      </w:pPr>
      <w:r>
        <w:t xml:space="preserve">Agencies must ensure that arrangements with the external cloud service provider </w:t>
      </w:r>
      <w:r w:rsidRPr="00221145">
        <w:t xml:space="preserve">comply with the privacy requirements of the </w:t>
      </w:r>
      <w:r w:rsidRPr="007B4F74">
        <w:rPr>
          <w:i/>
        </w:rPr>
        <w:t>Information Act</w:t>
      </w:r>
      <w:r w:rsidRPr="00DD6CC3">
        <w:t xml:space="preserve"> </w:t>
      </w:r>
      <w:r w:rsidRPr="00221145">
        <w:t>(NT).</w:t>
      </w:r>
    </w:p>
    <w:p w:rsidR="003141F5" w:rsidRPr="0027218A" w:rsidRDefault="003141F5" w:rsidP="00AD700E">
      <w:pPr>
        <w:pStyle w:val="NumberedPara"/>
        <w:numPr>
          <w:ilvl w:val="0"/>
          <w:numId w:val="31"/>
        </w:numPr>
      </w:pPr>
      <w:r w:rsidRPr="0027218A">
        <w:t xml:space="preserve">More generally across all the data proposed to be held with an external cloud services provider, the </w:t>
      </w:r>
      <w:r w:rsidR="0027218A">
        <w:t>agency</w:t>
      </w:r>
      <w:r w:rsidRPr="0027218A">
        <w:t xml:space="preserve"> is certain that:</w:t>
      </w:r>
    </w:p>
    <w:p w:rsidR="003141F5" w:rsidRPr="0027218A" w:rsidRDefault="003141F5" w:rsidP="00AD700E">
      <w:pPr>
        <w:pStyle w:val="NumberedPara"/>
        <w:numPr>
          <w:ilvl w:val="1"/>
          <w:numId w:val="31"/>
        </w:numPr>
      </w:pPr>
      <w:r w:rsidRPr="0027218A">
        <w:t>the arrangement with the service provider will support and enable compliance with any obligations (whether contractual, equitable or statutory) on the agency to keep particular information confidential</w:t>
      </w:r>
    </w:p>
    <w:p w:rsidR="003141F5" w:rsidRPr="0027218A" w:rsidRDefault="003141F5" w:rsidP="00AD700E">
      <w:pPr>
        <w:pStyle w:val="NumberedPara"/>
        <w:numPr>
          <w:ilvl w:val="1"/>
          <w:numId w:val="31"/>
        </w:numPr>
      </w:pPr>
      <w:proofErr w:type="gramStart"/>
      <w:r w:rsidRPr="0027218A">
        <w:t>such</w:t>
      </w:r>
      <w:proofErr w:type="gramEnd"/>
      <w:r w:rsidRPr="0027218A">
        <w:t xml:space="preserve"> confidentiality obligations are transmitted to the service provider in circumstances where the provider is storing or accessing the </w:t>
      </w:r>
      <w:r w:rsidR="0027218A">
        <w:t>agency</w:t>
      </w:r>
      <w:r w:rsidRPr="0027218A">
        <w:t>'s data.</w:t>
      </w:r>
    </w:p>
    <w:p w:rsidR="00E34BFA" w:rsidRPr="00E34BFA" w:rsidRDefault="00E34BFA" w:rsidP="00E34BFA">
      <w:r w:rsidRPr="00E34BFA">
        <w:br w:type="page"/>
      </w:r>
    </w:p>
    <w:p w:rsidR="00FB62B0" w:rsidRDefault="00904020">
      <w:pPr>
        <w:pStyle w:val="Heading1"/>
      </w:pPr>
      <w:bookmarkStart w:id="35" w:name="_Toc489364391"/>
      <w:r>
        <w:lastRenderedPageBreak/>
        <w:t xml:space="preserve">Security </w:t>
      </w:r>
      <w:r w:rsidRPr="00E15FFD">
        <w:t>requirements</w:t>
      </w:r>
      <w:bookmarkEnd w:id="35"/>
    </w:p>
    <w:p w:rsidR="003141F5" w:rsidRDefault="00A9455E" w:rsidP="0027218A">
      <w:pPr>
        <w:pStyle w:val="Heading2"/>
      </w:pPr>
      <w:bookmarkStart w:id="36" w:name="_Toc489364392"/>
      <w:r>
        <w:t xml:space="preserve">Data </w:t>
      </w:r>
      <w:r w:rsidR="00D02FD1" w:rsidRPr="00C4280D">
        <w:t>security</w:t>
      </w:r>
      <w:bookmarkEnd w:id="36"/>
    </w:p>
    <w:p w:rsidR="004058BC" w:rsidRDefault="003141F5" w:rsidP="0027218A">
      <w:pPr>
        <w:pStyle w:val="Heading4"/>
      </w:pPr>
      <w:r>
        <w:t xml:space="preserve">Agencies must </w:t>
      </w:r>
      <w:r w:rsidR="004058BC">
        <w:t>protect data that belongs to the NTG or is entrusted to the NTG on behalf of clients, citizens and businesses.</w:t>
      </w:r>
    </w:p>
    <w:p w:rsidR="003141F5" w:rsidRDefault="004058BC" w:rsidP="0027218A">
      <w:pPr>
        <w:pStyle w:val="Heading4"/>
      </w:pPr>
      <w:r>
        <w:t xml:space="preserve">Agencies must </w:t>
      </w:r>
      <w:r w:rsidR="003141F5">
        <w:t>ensure that government data in a cloud service is s</w:t>
      </w:r>
      <w:r w:rsidR="00904020">
        <w:t>ecur</w:t>
      </w:r>
      <w:r w:rsidR="003141F5">
        <w:t>e</w:t>
      </w:r>
      <w:r w:rsidR="00904020">
        <w:t xml:space="preserve"> and protect</w:t>
      </w:r>
      <w:r w:rsidR="003141F5">
        <w:t>ed where this is necessary.</w:t>
      </w:r>
    </w:p>
    <w:p w:rsidR="00904020" w:rsidRDefault="003141F5" w:rsidP="0027218A">
      <w:pPr>
        <w:pStyle w:val="Heading4"/>
      </w:pPr>
      <w:r>
        <w:t>Agencies must ensure that contractual arrangements with the external cloud services provider provide for adequate data protection and security over the contract term and beyond</w:t>
      </w:r>
      <w:r w:rsidR="00904020">
        <w:t>.</w:t>
      </w:r>
    </w:p>
    <w:p w:rsidR="00D02FD1" w:rsidRDefault="00D02FD1" w:rsidP="00AD700E">
      <w:pPr>
        <w:pStyle w:val="NumberedPara"/>
        <w:numPr>
          <w:ilvl w:val="0"/>
          <w:numId w:val="32"/>
        </w:numPr>
      </w:pPr>
      <w:r>
        <w:t xml:space="preserve">For this </w:t>
      </w:r>
      <w:r w:rsidR="00E34BFA">
        <w:t>standard</w:t>
      </w:r>
      <w:r>
        <w:t xml:space="preserve">, data refers to data that is collected by </w:t>
      </w:r>
      <w:r w:rsidR="0027218A">
        <w:t>agenc</w:t>
      </w:r>
      <w:r>
        <w:t>ies and held in digital form that is being considered for hosting or storage with a cloud services provider.</w:t>
      </w:r>
    </w:p>
    <w:p w:rsidR="00904020" w:rsidRDefault="003141F5" w:rsidP="00AD700E">
      <w:pPr>
        <w:pStyle w:val="NumberedPara"/>
        <w:numPr>
          <w:ilvl w:val="0"/>
          <w:numId w:val="32"/>
        </w:numPr>
      </w:pPr>
      <w:r>
        <w:t>ICT and data s</w:t>
      </w:r>
      <w:r w:rsidR="00904020">
        <w:t xml:space="preserve">ecurity is of utmost importance and </w:t>
      </w:r>
      <w:r w:rsidR="0027218A">
        <w:t>agenc</w:t>
      </w:r>
      <w:r w:rsidR="00904020">
        <w:t xml:space="preserve">ies must give due consideration to the level of infrastructure (technology) security provided by </w:t>
      </w:r>
      <w:r>
        <w:t>an</w:t>
      </w:r>
      <w:r w:rsidR="00904020">
        <w:t xml:space="preserve"> external cloud service and the security level of the information (content) proposed to be hosted in the external cloud service.</w:t>
      </w:r>
    </w:p>
    <w:p w:rsidR="00D02FD1" w:rsidRDefault="00D02FD1" w:rsidP="00AD700E">
      <w:pPr>
        <w:pStyle w:val="NumberedPara"/>
        <w:numPr>
          <w:ilvl w:val="0"/>
          <w:numId w:val="32"/>
        </w:numPr>
      </w:pPr>
      <w:r>
        <w:t>Agencies must have a clear understanding of the nature of the information proposed to be stored in the external cloud service; have attributed an appropriate security classification level to the information; and implemented security controls commensurate with the classification level.</w:t>
      </w:r>
    </w:p>
    <w:p w:rsidR="00D02FD1" w:rsidRDefault="00D02FD1" w:rsidP="00AD700E">
      <w:pPr>
        <w:pStyle w:val="NumberedPara"/>
        <w:numPr>
          <w:ilvl w:val="0"/>
          <w:numId w:val="32"/>
        </w:numPr>
      </w:pPr>
      <w:r>
        <w:t>Arrangements must be in place to provide certainty that:</w:t>
      </w:r>
    </w:p>
    <w:p w:rsidR="00D02FD1" w:rsidRPr="005E05CA" w:rsidRDefault="0027218A" w:rsidP="00AD700E">
      <w:pPr>
        <w:pStyle w:val="NumberedPara"/>
        <w:numPr>
          <w:ilvl w:val="1"/>
          <w:numId w:val="32"/>
        </w:numPr>
      </w:pPr>
      <w:r>
        <w:t>a</w:t>
      </w:r>
      <w:r w:rsidR="00D02FD1" w:rsidRPr="005E05CA">
        <w:t>gency data stored off-premises is protected from potential threats (such as security breaches or introduction of harmful code) at all times and for as long as the external cloud service is provided by the provider</w:t>
      </w:r>
    </w:p>
    <w:p w:rsidR="00D02FD1" w:rsidRPr="005E05CA" w:rsidRDefault="00D02FD1" w:rsidP="00AD700E">
      <w:pPr>
        <w:pStyle w:val="NumberedPara"/>
        <w:numPr>
          <w:ilvl w:val="1"/>
          <w:numId w:val="32"/>
        </w:numPr>
      </w:pPr>
      <w:proofErr w:type="gramStart"/>
      <w:r w:rsidRPr="005E05CA">
        <w:t>the</w:t>
      </w:r>
      <w:proofErr w:type="gramEnd"/>
      <w:r w:rsidRPr="005E05CA">
        <w:t xml:space="preserve"> security standards (</w:t>
      </w:r>
      <w:r w:rsidR="0027218A" w:rsidRPr="005E05CA">
        <w:t>e.g.</w:t>
      </w:r>
      <w:r w:rsidRPr="005E05CA">
        <w:t xml:space="preserve"> configurations, protocols</w:t>
      </w:r>
      <w:r w:rsidR="0027218A">
        <w:t>,</w:t>
      </w:r>
      <w:r w:rsidRPr="005E05CA">
        <w:t xml:space="preserve"> </w:t>
      </w:r>
      <w:r w:rsidR="0027218A" w:rsidRPr="005E05CA">
        <w:t>etc.</w:t>
      </w:r>
      <w:r w:rsidRPr="005E05CA">
        <w:t>) used by the service provider are acceptable to the NTG and that the service provider will be bound to maintain such standards for the duration of the contract.</w:t>
      </w:r>
    </w:p>
    <w:p w:rsidR="003141F5" w:rsidRPr="00904020" w:rsidRDefault="003141F5" w:rsidP="00AD700E">
      <w:pPr>
        <w:pStyle w:val="NumberedPara"/>
        <w:numPr>
          <w:ilvl w:val="0"/>
          <w:numId w:val="32"/>
        </w:numPr>
      </w:pPr>
      <w:r>
        <w:t xml:space="preserve">Where the government data is ‘open’ (publicly available) the contractual </w:t>
      </w:r>
      <w:r w:rsidR="005F7BB7">
        <w:t>arrangements</w:t>
      </w:r>
      <w:r>
        <w:t xml:space="preserve"> can be adjusted to suit, provided that the NTG’s reputation and obligations to third parties remain adequately protected at all times.</w:t>
      </w:r>
    </w:p>
    <w:p w:rsidR="0058594A" w:rsidRDefault="00904020" w:rsidP="0027218A">
      <w:pPr>
        <w:pStyle w:val="Heading2"/>
      </w:pPr>
      <w:bookmarkStart w:id="37" w:name="_Toc474493597"/>
      <w:bookmarkStart w:id="38" w:name="_Toc489364393"/>
      <w:bookmarkEnd w:id="33"/>
      <w:r>
        <w:t>NTG ICT Security assessment</w:t>
      </w:r>
      <w:bookmarkEnd w:id="37"/>
      <w:bookmarkEnd w:id="38"/>
    </w:p>
    <w:p w:rsidR="00A65B0C" w:rsidRDefault="00A65B0C" w:rsidP="0027218A">
      <w:pPr>
        <w:pStyle w:val="Heading4"/>
      </w:pPr>
      <w:r w:rsidRPr="009F4E08">
        <w:t>A</w:t>
      </w:r>
      <w:r>
        <w:t>gencies must submit a</w:t>
      </w:r>
      <w:r w:rsidRPr="009F4E08">
        <w:t>ll propos</w:t>
      </w:r>
      <w:r>
        <w:t>als for use of external cloud services,</w:t>
      </w:r>
      <w:r w:rsidRPr="009F4E08">
        <w:t xml:space="preserve"> regardless of value</w:t>
      </w:r>
      <w:r>
        <w:t>,</w:t>
      </w:r>
      <w:r w:rsidRPr="009F4E08">
        <w:t xml:space="preserve"> </w:t>
      </w:r>
      <w:r>
        <w:t xml:space="preserve">to </w:t>
      </w:r>
      <w:r w:rsidRPr="009F4E08">
        <w:t>NTG I</w:t>
      </w:r>
      <w:r>
        <w:t>CT Security for assessment prior to commencement</w:t>
      </w:r>
      <w:r w:rsidRPr="009F4E08">
        <w:t>.</w:t>
      </w:r>
    </w:p>
    <w:p w:rsidR="00300510" w:rsidRDefault="005F7BB7" w:rsidP="00AD700E">
      <w:pPr>
        <w:pStyle w:val="NumberedPara"/>
        <w:numPr>
          <w:ilvl w:val="0"/>
          <w:numId w:val="33"/>
        </w:numPr>
      </w:pPr>
      <w:r>
        <w:t>In addition to protection of data and evaluation of the adequacy of ICT security measures employed by an external cloud services provider; it is essential that the security and integrity of the broader NTG ICT environment, including government networks and devices, is maintained at all times.</w:t>
      </w:r>
    </w:p>
    <w:p w:rsidR="00300510" w:rsidRDefault="00300510">
      <w:pPr>
        <w:spacing w:after="0"/>
      </w:pPr>
      <w:r>
        <w:br w:type="page"/>
      </w:r>
    </w:p>
    <w:p w:rsidR="005F7BB7" w:rsidRDefault="005F7BB7" w:rsidP="0027218A">
      <w:pPr>
        <w:pStyle w:val="Heading4"/>
      </w:pPr>
      <w:r>
        <w:lastRenderedPageBreak/>
        <w:t xml:space="preserve">NTG ICT Security will assist </w:t>
      </w:r>
      <w:r w:rsidR="0027218A">
        <w:t>agenc</w:t>
      </w:r>
      <w:r>
        <w:t>ies to assess cloud offerings in all areas of security.</w:t>
      </w:r>
      <w:r w:rsidR="007B4F74">
        <w:t xml:space="preserve"> </w:t>
      </w:r>
      <w:r w:rsidR="00904020">
        <w:t>NTG ICT Security must assess the potential for use of an external cloud service to introduce vulnerabilities into the NTG ICT environment or expose the environment to potential</w:t>
      </w:r>
      <w:r>
        <w:t>ly harmful cyber</w:t>
      </w:r>
      <w:r w:rsidR="00904020">
        <w:t xml:space="preserve"> threats</w:t>
      </w:r>
      <w:r>
        <w:t>.</w:t>
      </w:r>
    </w:p>
    <w:p w:rsidR="00FB62B0" w:rsidRDefault="005F7BB7" w:rsidP="0027218A">
      <w:pPr>
        <w:pStyle w:val="Heading4"/>
      </w:pPr>
      <w:r>
        <w:t xml:space="preserve">NTG ICT Security must advise </w:t>
      </w:r>
      <w:r w:rsidR="0027218A">
        <w:t>agenc</w:t>
      </w:r>
      <w:r>
        <w:t>ies of security controls and requirements</w:t>
      </w:r>
      <w:r w:rsidR="00904020">
        <w:t>.</w:t>
      </w:r>
    </w:p>
    <w:p w:rsidR="00D051A6" w:rsidRPr="007B4F74" w:rsidRDefault="00904020" w:rsidP="00AD700E">
      <w:pPr>
        <w:pStyle w:val="NumberedPara"/>
        <w:numPr>
          <w:ilvl w:val="0"/>
          <w:numId w:val="34"/>
        </w:numPr>
      </w:pPr>
      <w:r w:rsidRPr="007B4F74">
        <w:t xml:space="preserve">If the external cloud service fails the security assessment, it may be prohibited </w:t>
      </w:r>
      <w:r w:rsidR="003E089B" w:rsidRPr="007B4F74">
        <w:t>and</w:t>
      </w:r>
      <w:r w:rsidRPr="007B4F74">
        <w:t xml:space="preserve"> denied access to the NTG ICT environment. </w:t>
      </w:r>
      <w:r w:rsidR="00D051A6" w:rsidRPr="007B4F74">
        <w:t xml:space="preserve">It is recommended that </w:t>
      </w:r>
      <w:r w:rsidR="0027218A">
        <w:t>agenc</w:t>
      </w:r>
      <w:r w:rsidR="00D051A6" w:rsidRPr="007B4F74">
        <w:t>ies seek the advice of NTG ICT Security at the earliest possible opportunity.</w:t>
      </w:r>
    </w:p>
    <w:p w:rsidR="005F7BB7" w:rsidRPr="007B4F74" w:rsidRDefault="005F7BB7" w:rsidP="00AD700E">
      <w:pPr>
        <w:pStyle w:val="NumberedPara"/>
        <w:numPr>
          <w:ilvl w:val="0"/>
          <w:numId w:val="34"/>
        </w:numPr>
      </w:pPr>
      <w:r w:rsidRPr="007B4F74">
        <w:t xml:space="preserve">NTG ICT Security can assist </w:t>
      </w:r>
      <w:r w:rsidR="0027218A">
        <w:t>agenc</w:t>
      </w:r>
      <w:r w:rsidRPr="007B4F74">
        <w:t>ies by informing of appropriate solutions and ways to satisfy security requirements where this is feasible.</w:t>
      </w:r>
    </w:p>
    <w:p w:rsidR="00A9455E" w:rsidRDefault="00A9455E" w:rsidP="0027218A">
      <w:pPr>
        <w:pStyle w:val="Heading2"/>
      </w:pPr>
      <w:bookmarkStart w:id="39" w:name="_Toc489364394"/>
      <w:r>
        <w:t>Certified cloud service list</w:t>
      </w:r>
      <w:bookmarkEnd w:id="39"/>
    </w:p>
    <w:p w:rsidR="00A9455E" w:rsidRDefault="00A9455E" w:rsidP="0027218A">
      <w:pPr>
        <w:pStyle w:val="Heading4"/>
      </w:pPr>
      <w:r>
        <w:t>Agencies are to consu</w:t>
      </w:r>
      <w:r w:rsidR="00C5542B">
        <w:t>lt the Australian Government’s c</w:t>
      </w:r>
      <w:r>
        <w:t xml:space="preserve">ertified </w:t>
      </w:r>
      <w:r w:rsidR="00C5542B">
        <w:t>cloud s</w:t>
      </w:r>
      <w:r>
        <w:t xml:space="preserve">ervices </w:t>
      </w:r>
      <w:r w:rsidR="00C5542B">
        <w:t>l</w:t>
      </w:r>
      <w:r>
        <w:t>ist and give priority to certified cloud services providers.</w:t>
      </w:r>
    </w:p>
    <w:p w:rsidR="00A9455E" w:rsidRDefault="00A9455E" w:rsidP="00AD700E">
      <w:pPr>
        <w:pStyle w:val="NumberedPara"/>
        <w:numPr>
          <w:ilvl w:val="0"/>
          <w:numId w:val="35"/>
        </w:numPr>
      </w:pPr>
      <w:r>
        <w:t>The Australian Signals Directorate (ASD) within the Aus</w:t>
      </w:r>
      <w:r w:rsidR="00C5542B">
        <w:t>tralian Government maintains a certified cloud s</w:t>
      </w:r>
      <w:r>
        <w:t xml:space="preserve">ervices </w:t>
      </w:r>
      <w:r w:rsidR="00C5542B">
        <w:t>l</w:t>
      </w:r>
      <w:r>
        <w:t>ist (CCSL). Providers included on this list have satisfied ASD IRAP security assessments and requirements stated in the Australian Gove</w:t>
      </w:r>
      <w:r w:rsidR="00C5542B">
        <w:t>rnment’s information s</w:t>
      </w:r>
      <w:r>
        <w:t xml:space="preserve">ecurity </w:t>
      </w:r>
      <w:r w:rsidR="00C5542B">
        <w:t>m</w:t>
      </w:r>
      <w:r>
        <w:t>anual.</w:t>
      </w:r>
    </w:p>
    <w:p w:rsidR="00A9455E" w:rsidRDefault="00A9455E" w:rsidP="00AD700E">
      <w:pPr>
        <w:pStyle w:val="NumberedPara"/>
        <w:numPr>
          <w:ilvl w:val="0"/>
          <w:numId w:val="35"/>
        </w:numPr>
      </w:pPr>
      <w:r>
        <w:t>This will provide greater assurance when NTG ICT Security assesses the cloud service.</w:t>
      </w:r>
    </w:p>
    <w:p w:rsidR="00A9455E" w:rsidRDefault="00A9455E" w:rsidP="00AD700E">
      <w:pPr>
        <w:pStyle w:val="NumberedPara"/>
        <w:numPr>
          <w:ilvl w:val="0"/>
          <w:numId w:val="35"/>
        </w:numPr>
      </w:pPr>
      <w:r>
        <w:t xml:space="preserve">Where an </w:t>
      </w:r>
      <w:r w:rsidR="0027218A">
        <w:t>agency</w:t>
      </w:r>
      <w:r>
        <w:t xml:space="preserve"> intends to use an external cloud services provider not on ASD’s CCSL, the </w:t>
      </w:r>
      <w:r w:rsidR="0027218A">
        <w:t>agency</w:t>
      </w:r>
      <w:r>
        <w:t xml:space="preserve"> is to take additional precautions and undertake further due diligence, including attention to compliance with the </w:t>
      </w:r>
      <w:r w:rsidRPr="00AD700E">
        <w:rPr>
          <w:i/>
        </w:rPr>
        <w:t>Information Act</w:t>
      </w:r>
      <w:r>
        <w:t xml:space="preserve"> and to where the provider is located (Austral</w:t>
      </w:r>
      <w:r w:rsidR="00C5542B">
        <w:t xml:space="preserve">ia or overseas). </w:t>
      </w:r>
    </w:p>
    <w:p w:rsidR="00A9455E" w:rsidRPr="00D051A6" w:rsidRDefault="00A9455E" w:rsidP="00AD700E">
      <w:pPr>
        <w:pStyle w:val="NumberedPara"/>
        <w:numPr>
          <w:ilvl w:val="0"/>
          <w:numId w:val="35"/>
        </w:numPr>
      </w:pPr>
      <w:r>
        <w:t xml:space="preserve">The CCSL is accessible at </w:t>
      </w:r>
      <w:r w:rsidRPr="00672201">
        <w:t>http://www.asd.gov.au/infosec/irap/certified_clouds.htm</w:t>
      </w:r>
      <w:r>
        <w:t>.</w:t>
      </w:r>
    </w:p>
    <w:p w:rsidR="00A9455E" w:rsidRPr="002B5FF8" w:rsidRDefault="00A9455E" w:rsidP="0027218A">
      <w:pPr>
        <w:pStyle w:val="Heading2"/>
      </w:pPr>
      <w:bookmarkStart w:id="40" w:name="_Toc489364395"/>
      <w:r>
        <w:t xml:space="preserve">Security </w:t>
      </w:r>
      <w:r w:rsidRPr="00781DC3">
        <w:t>accreditation</w:t>
      </w:r>
      <w:bookmarkEnd w:id="40"/>
    </w:p>
    <w:p w:rsidR="00A9455E" w:rsidRDefault="00A9455E" w:rsidP="0027218A">
      <w:pPr>
        <w:pStyle w:val="Heading4"/>
      </w:pPr>
      <w:r>
        <w:t>Agencies must obtain written confirmation of the external cloud services provider’s security accreditation.</w:t>
      </w:r>
    </w:p>
    <w:p w:rsidR="00A9455E" w:rsidRDefault="00A9455E" w:rsidP="00AD700E">
      <w:pPr>
        <w:pStyle w:val="NumberedPara"/>
        <w:numPr>
          <w:ilvl w:val="0"/>
          <w:numId w:val="36"/>
        </w:numPr>
      </w:pPr>
      <w:r>
        <w:t xml:space="preserve">The physical data centre to store the </w:t>
      </w:r>
      <w:r w:rsidR="0027218A">
        <w:t>agency</w:t>
      </w:r>
      <w:r>
        <w:t xml:space="preserve">’s information, and the provider’s internal controls should be assessed </w:t>
      </w:r>
      <w:r w:rsidR="00C5542B">
        <w:t>and accredited by a registered i</w:t>
      </w:r>
      <w:r>
        <w:t xml:space="preserve">nformation </w:t>
      </w:r>
      <w:r w:rsidR="00C5542B">
        <w:t>s</w:t>
      </w:r>
      <w:r>
        <w:t xml:space="preserve">ecurity </w:t>
      </w:r>
      <w:r w:rsidR="00C5542B">
        <w:t>registered a</w:t>
      </w:r>
      <w:r>
        <w:t>sse</w:t>
      </w:r>
      <w:r w:rsidR="00C5542B">
        <w:t>ssors program (IRAP) a</w:t>
      </w:r>
      <w:r w:rsidR="00672201">
        <w:t>ssessor.</w:t>
      </w:r>
    </w:p>
    <w:p w:rsidR="00A9455E" w:rsidRDefault="00A9455E" w:rsidP="00AD700E">
      <w:pPr>
        <w:pStyle w:val="NumberedPara"/>
        <w:numPr>
          <w:ilvl w:val="0"/>
          <w:numId w:val="36"/>
        </w:numPr>
      </w:pPr>
      <w:r>
        <w:t>Where the external cloud service provider’s security accreditation has already been determined and assessed, such as by the Australian Government and t</w:t>
      </w:r>
      <w:r w:rsidR="00C5542B">
        <w:t>he provider is recorded on the certified cloud s</w:t>
      </w:r>
      <w:r>
        <w:t xml:space="preserve">ervices </w:t>
      </w:r>
      <w:r w:rsidR="00C5542B">
        <w:t>l</w:t>
      </w:r>
      <w:r>
        <w:t>ist, a further assessment is not required.</w:t>
      </w:r>
    </w:p>
    <w:p w:rsidR="00A9455E" w:rsidRDefault="00A9455E" w:rsidP="00AD700E">
      <w:pPr>
        <w:pStyle w:val="NumberedPara"/>
        <w:numPr>
          <w:ilvl w:val="0"/>
          <w:numId w:val="36"/>
        </w:numPr>
      </w:pPr>
      <w:r>
        <w:t>If an IRAP is not available or accreditation is not known, evidence of assessment against an appropriate industry standard must be submitted by the external cloud services provider, including evidence of independent verification. This documentation must be reviewed by NTG ICT Security to determine the suitability of the provider’s security controls.</w:t>
      </w:r>
    </w:p>
    <w:p w:rsidR="00E34BFA" w:rsidRPr="00E34BFA" w:rsidRDefault="00E34BFA" w:rsidP="00E34BFA">
      <w:bookmarkStart w:id="41" w:name="_Toc482699173"/>
      <w:bookmarkStart w:id="42" w:name="_Toc474493598"/>
      <w:bookmarkEnd w:id="41"/>
      <w:r w:rsidRPr="00E34BFA">
        <w:br w:type="page"/>
      </w:r>
    </w:p>
    <w:p w:rsidR="00D051A6" w:rsidRDefault="00D051A6" w:rsidP="0027218A">
      <w:pPr>
        <w:pStyle w:val="Heading2"/>
      </w:pPr>
      <w:bookmarkStart w:id="43" w:name="_Toc489364396"/>
      <w:r>
        <w:lastRenderedPageBreak/>
        <w:t xml:space="preserve">Security classification of </w:t>
      </w:r>
      <w:r w:rsidRPr="008A1324">
        <w:t>information</w:t>
      </w:r>
      <w:bookmarkEnd w:id="42"/>
      <w:bookmarkEnd w:id="43"/>
    </w:p>
    <w:p w:rsidR="00A65B0C" w:rsidRPr="00D051A6" w:rsidRDefault="00A65B0C" w:rsidP="0027218A">
      <w:pPr>
        <w:pStyle w:val="Heading4"/>
      </w:pPr>
      <w:r>
        <w:t>Agencies must ensure that the security level of information proposed to be stored in an external cloud service is assessed and a security classification attributed</w:t>
      </w:r>
      <w:r w:rsidR="005F7BB7">
        <w:t>,</w:t>
      </w:r>
      <w:r>
        <w:t xml:space="preserve"> having</w:t>
      </w:r>
      <w:r w:rsidR="00C5542B">
        <w:t xml:space="preserve"> regard to requirements of the records m</w:t>
      </w:r>
      <w:r>
        <w:t>anageme</w:t>
      </w:r>
      <w:r w:rsidR="00C5542B">
        <w:t>nt s</w:t>
      </w:r>
      <w:r>
        <w:t>tandards.</w:t>
      </w:r>
    </w:p>
    <w:p w:rsidR="00D051A6" w:rsidRDefault="00D051A6" w:rsidP="00AD700E">
      <w:pPr>
        <w:pStyle w:val="NumberedPara"/>
        <w:numPr>
          <w:ilvl w:val="0"/>
          <w:numId w:val="37"/>
        </w:numPr>
      </w:pPr>
      <w:r>
        <w:t xml:space="preserve">There are five security levels for information defined in the </w:t>
      </w:r>
      <w:r w:rsidR="00C5542B">
        <w:t>r</w:t>
      </w:r>
      <w:r w:rsidRPr="00951706">
        <w:t xml:space="preserve">ecords </w:t>
      </w:r>
      <w:r w:rsidR="00C5542B">
        <w:t>m</w:t>
      </w:r>
      <w:r w:rsidRPr="00951706">
        <w:t xml:space="preserve">anagement </w:t>
      </w:r>
      <w:r w:rsidR="00C5542B">
        <w:t>standards for p</w:t>
      </w:r>
      <w:r w:rsidRPr="00951706">
        <w:t xml:space="preserve">ublic </w:t>
      </w:r>
      <w:r w:rsidR="00C5542B">
        <w:t>s</w:t>
      </w:r>
      <w:r w:rsidRPr="00951706">
        <w:t xml:space="preserve">ector </w:t>
      </w:r>
      <w:r w:rsidR="00C5542B">
        <w:t>o</w:t>
      </w:r>
      <w:r w:rsidRPr="00951706">
        <w:t>rganisations in the Northern Territory</w:t>
      </w:r>
      <w:r>
        <w:t>:</w:t>
      </w:r>
    </w:p>
    <w:p w:rsidR="00452D4B" w:rsidRDefault="00C5542B" w:rsidP="00AD700E">
      <w:pPr>
        <w:pStyle w:val="NumberedPara"/>
        <w:numPr>
          <w:ilvl w:val="1"/>
          <w:numId w:val="37"/>
        </w:numPr>
      </w:pPr>
      <w:r>
        <w:t>u</w:t>
      </w:r>
      <w:r w:rsidR="00D051A6">
        <w:t>nrestricted</w:t>
      </w:r>
    </w:p>
    <w:p w:rsidR="00452D4B" w:rsidRDefault="00D051A6" w:rsidP="00AD700E">
      <w:pPr>
        <w:pStyle w:val="NumberedPara"/>
        <w:numPr>
          <w:ilvl w:val="1"/>
          <w:numId w:val="37"/>
        </w:numPr>
      </w:pPr>
      <w:r>
        <w:t>NTG Restricted</w:t>
      </w:r>
    </w:p>
    <w:p w:rsidR="00452D4B" w:rsidRDefault="00C5542B" w:rsidP="00AD700E">
      <w:pPr>
        <w:pStyle w:val="NumberedPara"/>
        <w:numPr>
          <w:ilvl w:val="1"/>
          <w:numId w:val="37"/>
        </w:numPr>
      </w:pPr>
      <w:r>
        <w:t>i</w:t>
      </w:r>
      <w:r w:rsidR="00D051A6">
        <w:t>n-confidence</w:t>
      </w:r>
    </w:p>
    <w:p w:rsidR="00452D4B" w:rsidRDefault="00C5542B" w:rsidP="00AD700E">
      <w:pPr>
        <w:pStyle w:val="NumberedPara"/>
        <w:numPr>
          <w:ilvl w:val="1"/>
          <w:numId w:val="37"/>
        </w:numPr>
      </w:pPr>
      <w:r>
        <w:t>p</w:t>
      </w:r>
      <w:r w:rsidR="00D051A6">
        <w:t>rotected</w:t>
      </w:r>
    </w:p>
    <w:p w:rsidR="00D051A6" w:rsidRDefault="00C5542B" w:rsidP="00AD700E">
      <w:pPr>
        <w:pStyle w:val="NumberedPara"/>
        <w:numPr>
          <w:ilvl w:val="1"/>
          <w:numId w:val="37"/>
        </w:numPr>
      </w:pPr>
      <w:proofErr w:type="gramStart"/>
      <w:r>
        <w:t>h</w:t>
      </w:r>
      <w:r w:rsidR="00D051A6">
        <w:t>ighly</w:t>
      </w:r>
      <w:proofErr w:type="gramEnd"/>
      <w:r w:rsidR="00D051A6">
        <w:t xml:space="preserve"> </w:t>
      </w:r>
      <w:r>
        <w:t>p</w:t>
      </w:r>
      <w:r w:rsidR="00D051A6">
        <w:t>rotected</w:t>
      </w:r>
      <w:r w:rsidR="00677009">
        <w:t>.</w:t>
      </w:r>
    </w:p>
    <w:p w:rsidR="00D96470" w:rsidRDefault="00A9455E" w:rsidP="0027218A">
      <w:pPr>
        <w:pStyle w:val="Heading2"/>
      </w:pPr>
      <w:bookmarkStart w:id="44" w:name="_Toc482699176"/>
      <w:bookmarkStart w:id="45" w:name="_Toc482699177"/>
      <w:bookmarkStart w:id="46" w:name="_Toc482699178"/>
      <w:bookmarkStart w:id="47" w:name="_Toc482699179"/>
      <w:bookmarkStart w:id="48" w:name="_Toc482699180"/>
      <w:bookmarkStart w:id="49" w:name="_Toc482699181"/>
      <w:bookmarkStart w:id="50" w:name="_Toc482699183"/>
      <w:bookmarkStart w:id="51" w:name="_Toc489364397"/>
      <w:bookmarkEnd w:id="44"/>
      <w:bookmarkEnd w:id="45"/>
      <w:bookmarkEnd w:id="46"/>
      <w:bookmarkEnd w:id="47"/>
      <w:bookmarkEnd w:id="48"/>
      <w:bookmarkEnd w:id="49"/>
      <w:bookmarkEnd w:id="50"/>
      <w:r>
        <w:t xml:space="preserve">Security </w:t>
      </w:r>
      <w:r w:rsidRPr="00C4280D">
        <w:t>measures</w:t>
      </w:r>
      <w:r w:rsidDel="00582F6D">
        <w:t xml:space="preserve"> </w:t>
      </w:r>
      <w:r>
        <w:t xml:space="preserve">for </w:t>
      </w:r>
      <w:bookmarkStart w:id="52" w:name="_Toc482270612"/>
      <w:bookmarkStart w:id="53" w:name="_Toc482271118"/>
      <w:bookmarkStart w:id="54" w:name="_Toc482270613"/>
      <w:bookmarkStart w:id="55" w:name="_Toc482271119"/>
      <w:bookmarkStart w:id="56" w:name="_Toc482699185"/>
      <w:bookmarkStart w:id="57" w:name="_Toc482270614"/>
      <w:bookmarkStart w:id="58" w:name="_Toc482271120"/>
      <w:bookmarkStart w:id="59" w:name="_Toc482699186"/>
      <w:bookmarkStart w:id="60" w:name="_Toc482270615"/>
      <w:bookmarkStart w:id="61" w:name="_Toc482271121"/>
      <w:bookmarkStart w:id="62" w:name="_Toc482699187"/>
      <w:bookmarkStart w:id="63" w:name="_Toc452040415"/>
      <w:bookmarkStart w:id="64" w:name="_Toc452043779"/>
      <w:bookmarkStart w:id="65" w:name="_Toc452111696"/>
      <w:bookmarkStart w:id="66" w:name="_Toc452040416"/>
      <w:bookmarkStart w:id="67" w:name="_Toc452043780"/>
      <w:bookmarkStart w:id="68" w:name="_Toc452111697"/>
      <w:bookmarkStart w:id="69" w:name="_Toc482270616"/>
      <w:bookmarkStart w:id="70" w:name="_Toc482271122"/>
      <w:bookmarkStart w:id="71" w:name="_Toc482699188"/>
      <w:bookmarkStart w:id="72" w:name="_Toc482270617"/>
      <w:bookmarkStart w:id="73" w:name="_Toc482271123"/>
      <w:bookmarkStart w:id="74" w:name="_Toc482699189"/>
      <w:bookmarkStart w:id="75" w:name="_Toc482270618"/>
      <w:bookmarkStart w:id="76" w:name="_Toc482271124"/>
      <w:bookmarkStart w:id="77" w:name="_Toc482699190"/>
      <w:bookmarkStart w:id="78" w:name="_Toc482699191"/>
      <w:bookmarkStart w:id="79" w:name="_Toc482699192"/>
      <w:bookmarkStart w:id="80" w:name="_Toc482699193"/>
      <w:bookmarkStart w:id="81" w:name="_Toc482699195"/>
      <w:bookmarkStart w:id="82" w:name="_Toc482699196"/>
      <w:bookmarkStart w:id="83" w:name="_Toc482699197"/>
      <w:bookmarkStart w:id="84" w:name="_Toc474493603"/>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t>i</w:t>
      </w:r>
      <w:r w:rsidR="00D051A6">
        <w:t>nformation classified “in confidence” or above</w:t>
      </w:r>
      <w:bookmarkEnd w:id="51"/>
      <w:bookmarkEnd w:id="84"/>
    </w:p>
    <w:p w:rsidR="004058BC" w:rsidRDefault="00582F6D" w:rsidP="0027218A">
      <w:pPr>
        <w:pStyle w:val="Heading4"/>
      </w:pPr>
      <w:r>
        <w:t>Agencies must consult</w:t>
      </w:r>
      <w:r w:rsidR="004058BC">
        <w:t xml:space="preserve"> NTG</w:t>
      </w:r>
      <w:r>
        <w:t xml:space="preserve"> ICT Security where </w:t>
      </w:r>
      <w:r w:rsidR="00A9455E">
        <w:t>proposing to put information classified as ‘in confidence’ or above in an external cloud service solution</w:t>
      </w:r>
      <w:r w:rsidR="004058BC">
        <w:t>.</w:t>
      </w:r>
    </w:p>
    <w:p w:rsidR="00582F6D" w:rsidRDefault="004058BC" w:rsidP="0027218A">
      <w:pPr>
        <w:pStyle w:val="Heading4"/>
      </w:pPr>
      <w:r>
        <w:t xml:space="preserve">NTG ICT Security must assess such </w:t>
      </w:r>
      <w:r w:rsidR="0027218A">
        <w:t>agency</w:t>
      </w:r>
      <w:r>
        <w:t xml:space="preserve"> requests in further detail and determine </w:t>
      </w:r>
      <w:r w:rsidR="00582F6D">
        <w:t>additional security measures required</w:t>
      </w:r>
      <w:r>
        <w:t xml:space="preserve"> to mitigate risks</w:t>
      </w:r>
      <w:r w:rsidR="00582F6D">
        <w:t>.</w:t>
      </w:r>
    </w:p>
    <w:p w:rsidR="008021DF" w:rsidRDefault="00D051A6" w:rsidP="00AD700E">
      <w:pPr>
        <w:pStyle w:val="NumberedPara"/>
        <w:numPr>
          <w:ilvl w:val="0"/>
          <w:numId w:val="38"/>
        </w:numPr>
      </w:pPr>
      <w:r>
        <w:t>Agencies should be particularly cautious about hosting and storing information classified as “in-confidence” or above with an external cloud service, given the increased legal and reputational risks which may arise if such information is not kept appropriately secure.</w:t>
      </w:r>
    </w:p>
    <w:p w:rsidR="00582F6D" w:rsidRDefault="00D051A6" w:rsidP="00AD700E">
      <w:pPr>
        <w:pStyle w:val="NumberedPara"/>
        <w:numPr>
          <w:ilvl w:val="0"/>
          <w:numId w:val="38"/>
        </w:numPr>
      </w:pPr>
      <w:r>
        <w:t>If information classified as “in-confidence” or above is to be hosted by an external cloud service,</w:t>
      </w:r>
      <w:r w:rsidR="004058BC">
        <w:t xml:space="preserve"> </w:t>
      </w:r>
      <w:r w:rsidR="0027218A">
        <w:t>agenc</w:t>
      </w:r>
      <w:r w:rsidR="004058BC">
        <w:t>ies will be required to establish and maintain</w:t>
      </w:r>
      <w:r>
        <w:t xml:space="preserve"> </w:t>
      </w:r>
      <w:r w:rsidR="00582F6D">
        <w:t>additional</w:t>
      </w:r>
      <w:r>
        <w:t xml:space="preserve"> security </w:t>
      </w:r>
      <w:r w:rsidR="00582F6D">
        <w:t>measures</w:t>
      </w:r>
      <w:r w:rsidR="004058BC">
        <w:t>,</w:t>
      </w:r>
      <w:r w:rsidR="00582F6D">
        <w:t xml:space="preserve"> including </w:t>
      </w:r>
      <w:r w:rsidR="00C5542B">
        <w:t>v</w:t>
      </w:r>
      <w:r w:rsidR="00582F6D">
        <w:t xml:space="preserve">irtual </w:t>
      </w:r>
      <w:r w:rsidR="00C5542B">
        <w:t>private n</w:t>
      </w:r>
      <w:r w:rsidR="00582F6D">
        <w:t xml:space="preserve">etworks and </w:t>
      </w:r>
      <w:r w:rsidR="00C5542B">
        <w:t>m</w:t>
      </w:r>
      <w:r w:rsidR="00582F6D">
        <w:t xml:space="preserve">ultifactor </w:t>
      </w:r>
      <w:r w:rsidR="00C5542B">
        <w:t>a</w:t>
      </w:r>
      <w:r w:rsidR="00582F6D">
        <w:t>uthentication</w:t>
      </w:r>
      <w:r w:rsidR="00677009">
        <w:t>.</w:t>
      </w:r>
    </w:p>
    <w:p w:rsidR="00677009" w:rsidRDefault="004058BC" w:rsidP="00AD700E">
      <w:pPr>
        <w:pStyle w:val="NumberedPara"/>
        <w:numPr>
          <w:ilvl w:val="0"/>
          <w:numId w:val="38"/>
        </w:numPr>
      </w:pPr>
      <w:r>
        <w:t>NTG ICT Security will evaluate and determine the additional security measures that are necessary.</w:t>
      </w:r>
    </w:p>
    <w:p w:rsidR="004058BC" w:rsidRDefault="004058BC" w:rsidP="0027218A">
      <w:pPr>
        <w:pStyle w:val="Heading2"/>
      </w:pPr>
      <w:bookmarkStart w:id="85" w:name="_Toc489364398"/>
      <w:r>
        <w:t>Authentication</w:t>
      </w:r>
      <w:bookmarkEnd w:id="85"/>
    </w:p>
    <w:p w:rsidR="004058BC" w:rsidRPr="00221145" w:rsidRDefault="004058BC" w:rsidP="0027218A">
      <w:pPr>
        <w:pStyle w:val="Heading4"/>
      </w:pPr>
      <w:r w:rsidRPr="00221145">
        <w:t xml:space="preserve">Agencies </w:t>
      </w:r>
      <w:r w:rsidRPr="00DD6CC3">
        <w:t>must consult</w:t>
      </w:r>
      <w:r>
        <w:t xml:space="preserve"> NTG</w:t>
      </w:r>
      <w:r w:rsidRPr="00DD6CC3">
        <w:t xml:space="preserve"> ICT Security </w:t>
      </w:r>
      <w:r w:rsidRPr="00221145">
        <w:t xml:space="preserve">to ensure that the external cloud service </w:t>
      </w:r>
      <w:r>
        <w:t xml:space="preserve">provider </w:t>
      </w:r>
      <w:r w:rsidRPr="00221145">
        <w:t xml:space="preserve">uses </w:t>
      </w:r>
      <w:r w:rsidRPr="00DD6CC3">
        <w:t>approved authentication processes</w:t>
      </w:r>
      <w:r>
        <w:t xml:space="preserve"> to control access</w:t>
      </w:r>
      <w:r w:rsidRPr="00DD6CC3">
        <w:t xml:space="preserve">, </w:t>
      </w:r>
      <w:r>
        <w:t>or where a</w:t>
      </w:r>
      <w:r w:rsidRPr="00DD6CC3">
        <w:t xml:space="preserve"> federated environment</w:t>
      </w:r>
      <w:r>
        <w:t xml:space="preserve"> is required</w:t>
      </w:r>
      <w:r w:rsidRPr="00221145">
        <w:t>.</w:t>
      </w:r>
    </w:p>
    <w:p w:rsidR="006C20AB" w:rsidRPr="006C20AB" w:rsidRDefault="004058BC" w:rsidP="00227ADC">
      <w:pPr>
        <w:pStyle w:val="NumberedPara"/>
        <w:numPr>
          <w:ilvl w:val="0"/>
          <w:numId w:val="39"/>
        </w:numPr>
      </w:pPr>
      <w:r>
        <w:t>Local</w:t>
      </w:r>
      <w:r w:rsidRPr="002A1712">
        <w:t xml:space="preserve"> authentication </w:t>
      </w:r>
      <w:r>
        <w:t>compromises NTG security and external cloud services should not be accessible to users through local authentication. That is, the service should not ask users to create specific authentication details (usernames and passwords) in order to log in to the service.</w:t>
      </w:r>
      <w:bookmarkStart w:id="86" w:name="_Toc482699200"/>
      <w:r w:rsidR="006C20AB" w:rsidRPr="006C20AB">
        <w:br w:type="page"/>
      </w:r>
    </w:p>
    <w:p w:rsidR="00B346AE" w:rsidRDefault="009E23EB">
      <w:pPr>
        <w:pStyle w:val="Heading1"/>
      </w:pPr>
      <w:bookmarkStart w:id="87" w:name="_Toc489364399"/>
      <w:r>
        <w:lastRenderedPageBreak/>
        <w:t>Administrative</w:t>
      </w:r>
      <w:bookmarkStart w:id="88" w:name="_Toc482270621"/>
      <w:bookmarkStart w:id="89" w:name="_Toc482271127"/>
      <w:bookmarkStart w:id="90" w:name="_Toc482699201"/>
      <w:bookmarkStart w:id="91" w:name="_Toc482270622"/>
      <w:bookmarkStart w:id="92" w:name="_Toc482271128"/>
      <w:bookmarkStart w:id="93" w:name="_Toc482699202"/>
      <w:bookmarkStart w:id="94" w:name="_Toc482270623"/>
      <w:bookmarkStart w:id="95" w:name="_Toc482271129"/>
      <w:bookmarkStart w:id="96" w:name="_Toc482699203"/>
      <w:bookmarkStart w:id="97" w:name="_Toc482270624"/>
      <w:bookmarkStart w:id="98" w:name="_Toc482271130"/>
      <w:bookmarkStart w:id="99" w:name="_Toc482699204"/>
      <w:bookmarkStart w:id="100" w:name="_Toc482270625"/>
      <w:bookmarkStart w:id="101" w:name="_Toc482271131"/>
      <w:bookmarkStart w:id="102" w:name="_Toc482699205"/>
      <w:bookmarkStart w:id="103" w:name="_Toc482270626"/>
      <w:bookmarkStart w:id="104" w:name="_Toc482271132"/>
      <w:bookmarkStart w:id="105" w:name="_Toc482699206"/>
      <w:bookmarkStart w:id="106" w:name="_Toc482270627"/>
      <w:bookmarkStart w:id="107" w:name="_Toc482271133"/>
      <w:bookmarkStart w:id="108" w:name="_Toc482699207"/>
      <w:bookmarkStart w:id="109" w:name="_Toc451949042"/>
      <w:bookmarkEnd w:id="86"/>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00B346AE">
        <w:t xml:space="preserve"> </w:t>
      </w:r>
      <w:r w:rsidR="00B346AE" w:rsidRPr="00D421A1">
        <w:t>requirements</w:t>
      </w:r>
      <w:bookmarkEnd w:id="87"/>
    </w:p>
    <w:p w:rsidR="00B346AE" w:rsidRDefault="00B346AE" w:rsidP="00AD700E">
      <w:pPr>
        <w:pStyle w:val="NumberedPara"/>
        <w:numPr>
          <w:ilvl w:val="0"/>
          <w:numId w:val="40"/>
        </w:numPr>
      </w:pPr>
      <w:r>
        <w:t xml:space="preserve">When considering </w:t>
      </w:r>
      <w:r w:rsidR="008A70AD">
        <w:t>external cloud services</w:t>
      </w:r>
      <w:r>
        <w:t xml:space="preserve">, the </w:t>
      </w:r>
      <w:r w:rsidR="0027218A">
        <w:t>agency</w:t>
      </w:r>
      <w:r w:rsidR="00B70CA7">
        <w:t xml:space="preserve"> chief executive</w:t>
      </w:r>
      <w:r w:rsidR="008A70AD">
        <w:t xml:space="preserve"> </w:t>
      </w:r>
      <w:r>
        <w:t xml:space="preserve">should </w:t>
      </w:r>
      <w:r w:rsidR="008A70AD">
        <w:t xml:space="preserve">be </w:t>
      </w:r>
      <w:r>
        <w:t>satisf</w:t>
      </w:r>
      <w:r w:rsidR="008A70AD">
        <w:t>ied</w:t>
      </w:r>
      <w:r>
        <w:t xml:space="preserve"> that the </w:t>
      </w:r>
      <w:r w:rsidR="009E23EB">
        <w:t xml:space="preserve">administrative </w:t>
      </w:r>
      <w:r>
        <w:t>requirements listed below are met and will be adequately addressed within contract</w:t>
      </w:r>
      <w:r w:rsidR="008A70AD">
        <w:t>ual arrangements</w:t>
      </w:r>
      <w:r w:rsidR="004058BC">
        <w:t xml:space="preserve"> with an external cloud services provider</w:t>
      </w:r>
      <w:r>
        <w:t>.</w:t>
      </w:r>
    </w:p>
    <w:p w:rsidR="007263A4" w:rsidRDefault="007263A4" w:rsidP="0027218A">
      <w:pPr>
        <w:pStyle w:val="Heading2"/>
      </w:pPr>
      <w:bookmarkStart w:id="110" w:name="_Toc489364400"/>
      <w:r>
        <w:t>A</w:t>
      </w:r>
      <w:r w:rsidR="009E23EB">
        <w:t xml:space="preserve">gency </w:t>
      </w:r>
      <w:r w:rsidR="009E23EB" w:rsidRPr="00D421A1">
        <w:t>a</w:t>
      </w:r>
      <w:r w:rsidRPr="00D421A1">
        <w:t>ccess</w:t>
      </w:r>
      <w:bookmarkEnd w:id="110"/>
    </w:p>
    <w:p w:rsidR="007263A4" w:rsidRDefault="007263A4" w:rsidP="0027218A">
      <w:pPr>
        <w:pStyle w:val="Heading4"/>
      </w:pPr>
      <w:r>
        <w:t>Agencies must ensure NTG data and applications are available when required.</w:t>
      </w:r>
    </w:p>
    <w:p w:rsidR="007263A4" w:rsidRDefault="007263A4" w:rsidP="00AD700E">
      <w:pPr>
        <w:pStyle w:val="NumberedPara"/>
        <w:numPr>
          <w:ilvl w:val="0"/>
          <w:numId w:val="41"/>
        </w:numPr>
      </w:pPr>
      <w:r>
        <w:t xml:space="preserve">The </w:t>
      </w:r>
      <w:r w:rsidR="0027218A">
        <w:t>agency</w:t>
      </w:r>
      <w:r>
        <w:t xml:space="preserve"> has surety that the external cloud services provider will:</w:t>
      </w:r>
    </w:p>
    <w:p w:rsidR="007263A4" w:rsidRPr="00677009" w:rsidRDefault="007263A4" w:rsidP="00AD700E">
      <w:pPr>
        <w:pStyle w:val="NumberedPara"/>
        <w:numPr>
          <w:ilvl w:val="1"/>
          <w:numId w:val="41"/>
        </w:numPr>
      </w:pPr>
      <w:r w:rsidRPr="00677009">
        <w:t xml:space="preserve">allow access to the external cloud services for legitimate </w:t>
      </w:r>
      <w:r w:rsidR="0027218A">
        <w:t>agency</w:t>
      </w:r>
      <w:r w:rsidRPr="00677009">
        <w:t xml:space="preserve"> business by authorised users at all times required, with no unplanned downtimes</w:t>
      </w:r>
    </w:p>
    <w:p w:rsidR="007263A4" w:rsidRPr="00677009" w:rsidRDefault="007263A4" w:rsidP="00AD700E">
      <w:pPr>
        <w:pStyle w:val="NumberedPara"/>
        <w:numPr>
          <w:ilvl w:val="1"/>
          <w:numId w:val="41"/>
        </w:numPr>
      </w:pPr>
      <w:r w:rsidRPr="00677009">
        <w:t xml:space="preserve">ensure no interruption to services required by the </w:t>
      </w:r>
      <w:r w:rsidR="0027218A">
        <w:t>agency</w:t>
      </w:r>
      <w:r w:rsidRPr="00677009">
        <w:t xml:space="preserve"> through having robust business continuity arrangements in place</w:t>
      </w:r>
    </w:p>
    <w:p w:rsidR="007263A4" w:rsidRPr="00677009" w:rsidRDefault="007263A4" w:rsidP="00AD700E">
      <w:pPr>
        <w:pStyle w:val="NumberedPara"/>
        <w:numPr>
          <w:ilvl w:val="1"/>
          <w:numId w:val="41"/>
        </w:numPr>
      </w:pPr>
      <w:proofErr w:type="gramStart"/>
      <w:r w:rsidRPr="00677009">
        <w:t>prevent</w:t>
      </w:r>
      <w:proofErr w:type="gramEnd"/>
      <w:r w:rsidRPr="00677009">
        <w:t xml:space="preserve"> access to </w:t>
      </w:r>
      <w:r w:rsidR="0027218A">
        <w:t>agency</w:t>
      </w:r>
      <w:r w:rsidRPr="00677009">
        <w:t xml:space="preserve"> data by non-authorised persons and entities for the duration of the arrangements with the provider and beyond.</w:t>
      </w:r>
    </w:p>
    <w:p w:rsidR="00B346AE" w:rsidRDefault="00B346AE" w:rsidP="0027218A">
      <w:pPr>
        <w:pStyle w:val="Heading2"/>
      </w:pPr>
      <w:bookmarkStart w:id="111" w:name="_Toc482699210"/>
      <w:bookmarkStart w:id="112" w:name="_Toc482699211"/>
      <w:bookmarkStart w:id="113" w:name="_Toc482699212"/>
      <w:bookmarkStart w:id="114" w:name="_Toc482699213"/>
      <w:bookmarkStart w:id="115" w:name="_Toc482699214"/>
      <w:bookmarkStart w:id="116" w:name="_Toc482699215"/>
      <w:bookmarkStart w:id="117" w:name="_Toc489364401"/>
      <w:bookmarkEnd w:id="111"/>
      <w:bookmarkEnd w:id="112"/>
      <w:bookmarkEnd w:id="113"/>
      <w:bookmarkEnd w:id="114"/>
      <w:bookmarkEnd w:id="115"/>
      <w:bookmarkEnd w:id="116"/>
      <w:r>
        <w:t>Data ownership</w:t>
      </w:r>
      <w:bookmarkEnd w:id="117"/>
    </w:p>
    <w:p w:rsidR="00B346AE" w:rsidRDefault="005C17E4" w:rsidP="0027218A">
      <w:pPr>
        <w:pStyle w:val="Heading4"/>
      </w:pPr>
      <w:r>
        <w:t>Agencies must ensure</w:t>
      </w:r>
      <w:r w:rsidR="00D02FD1">
        <w:t xml:space="preserve"> that</w:t>
      </w:r>
      <w:r w:rsidR="00B346AE">
        <w:t xml:space="preserve"> ownership of </w:t>
      </w:r>
      <w:r w:rsidR="00D02FD1">
        <w:t xml:space="preserve">government </w:t>
      </w:r>
      <w:r w:rsidR="00B346AE">
        <w:t xml:space="preserve">data </w:t>
      </w:r>
      <w:r w:rsidR="00D02FD1">
        <w:t>is</w:t>
      </w:r>
      <w:r w:rsidR="00B346AE">
        <w:t xml:space="preserve"> explicitly retained</w:t>
      </w:r>
      <w:r w:rsidR="00D02FD1">
        <w:t xml:space="preserve"> by the NTG in contracts with the cloud services provider</w:t>
      </w:r>
      <w:r w:rsidR="00B346AE">
        <w:t>.</w:t>
      </w:r>
    </w:p>
    <w:p w:rsidR="00B346AE" w:rsidRDefault="005026EE" w:rsidP="0027218A">
      <w:pPr>
        <w:pStyle w:val="Heading2"/>
      </w:pPr>
      <w:bookmarkStart w:id="118" w:name="_Toc482699217"/>
      <w:bookmarkStart w:id="119" w:name="_Toc482699218"/>
      <w:bookmarkStart w:id="120" w:name="_Toc482699219"/>
      <w:bookmarkStart w:id="121" w:name="_Toc482699220"/>
      <w:bookmarkStart w:id="122" w:name="_Toc482699221"/>
      <w:bookmarkStart w:id="123" w:name="_Toc482699222"/>
      <w:bookmarkStart w:id="124" w:name="_Toc482699223"/>
      <w:bookmarkStart w:id="125" w:name="_Toc482699224"/>
      <w:bookmarkStart w:id="126" w:name="_Toc482699225"/>
      <w:bookmarkStart w:id="127" w:name="_Toc482699226"/>
      <w:bookmarkStart w:id="128" w:name="_Toc482699227"/>
      <w:bookmarkStart w:id="129" w:name="_Toc482699228"/>
      <w:bookmarkStart w:id="130" w:name="_Toc474493611"/>
      <w:bookmarkStart w:id="131" w:name="_Toc489364402"/>
      <w:bookmarkEnd w:id="118"/>
      <w:bookmarkEnd w:id="119"/>
      <w:bookmarkEnd w:id="120"/>
      <w:bookmarkEnd w:id="121"/>
      <w:bookmarkEnd w:id="122"/>
      <w:bookmarkEnd w:id="123"/>
      <w:bookmarkEnd w:id="124"/>
      <w:bookmarkEnd w:id="125"/>
      <w:bookmarkEnd w:id="126"/>
      <w:bookmarkEnd w:id="127"/>
      <w:bookmarkEnd w:id="128"/>
      <w:bookmarkEnd w:id="129"/>
      <w:r>
        <w:t>Data sovereignty</w:t>
      </w:r>
      <w:bookmarkEnd w:id="130"/>
      <w:bookmarkEnd w:id="131"/>
    </w:p>
    <w:p w:rsidR="005C17E4" w:rsidRDefault="005C17E4" w:rsidP="0027218A">
      <w:pPr>
        <w:pStyle w:val="Heading4"/>
      </w:pPr>
      <w:r>
        <w:t xml:space="preserve">Agencies must understand and </w:t>
      </w:r>
      <w:r w:rsidR="00D02FD1">
        <w:t xml:space="preserve">ensure the </w:t>
      </w:r>
      <w:r>
        <w:t xml:space="preserve">sovereignty </w:t>
      </w:r>
      <w:r w:rsidR="00D02FD1">
        <w:t>of NTG data held with an external cloud services provider is appropriate and acceptable.</w:t>
      </w:r>
    </w:p>
    <w:p w:rsidR="00BA3616" w:rsidRDefault="005026EE" w:rsidP="00AD700E">
      <w:pPr>
        <w:pStyle w:val="NumberedPara"/>
        <w:numPr>
          <w:ilvl w:val="0"/>
          <w:numId w:val="42"/>
        </w:numPr>
      </w:pPr>
      <w:r>
        <w:t xml:space="preserve">The physical location of </w:t>
      </w:r>
      <w:r w:rsidR="0027218A">
        <w:t>agency</w:t>
      </w:r>
      <w:r>
        <w:t xml:space="preserve"> data (including back-ups) is known and accepted, with data relocation</w:t>
      </w:r>
      <w:r w:rsidR="00D02FD1">
        <w:t xml:space="preserve"> by the cloud services provider</w:t>
      </w:r>
      <w:r>
        <w:t xml:space="preserve"> requiring the </w:t>
      </w:r>
      <w:r w:rsidR="0027218A">
        <w:t>agency</w:t>
      </w:r>
      <w:r>
        <w:t xml:space="preserve">’s </w:t>
      </w:r>
      <w:r w:rsidR="00D02FD1">
        <w:t xml:space="preserve">prior </w:t>
      </w:r>
      <w:r>
        <w:t xml:space="preserve">consent The impact of applicable laws, including foreign laws, have been </w:t>
      </w:r>
      <w:r w:rsidR="00D02FD1">
        <w:t>considered</w:t>
      </w:r>
      <w:r>
        <w:t xml:space="preserve"> and there is certainty that </w:t>
      </w:r>
      <w:r w:rsidR="0027218A">
        <w:t>agency</w:t>
      </w:r>
      <w:r>
        <w:t xml:space="preserve"> obligations (including obligations under the privacy provisions of the </w:t>
      </w:r>
      <w:r w:rsidRPr="00AD700E">
        <w:rPr>
          <w:i/>
        </w:rPr>
        <w:t xml:space="preserve">Information Act </w:t>
      </w:r>
      <w:r>
        <w:t>(NT)) with respect to data storage locations will be met.</w:t>
      </w:r>
    </w:p>
    <w:p w:rsidR="005026EE" w:rsidRDefault="005026EE" w:rsidP="00AD700E">
      <w:pPr>
        <w:pStyle w:val="NumberedPara"/>
        <w:numPr>
          <w:ilvl w:val="0"/>
          <w:numId w:val="42"/>
        </w:numPr>
      </w:pPr>
      <w:r>
        <w:t xml:space="preserve">The contract with the external </w:t>
      </w:r>
      <w:r w:rsidR="00BA3616">
        <w:t xml:space="preserve">cloud </w:t>
      </w:r>
      <w:r>
        <w:t>service</w:t>
      </w:r>
      <w:r w:rsidR="00BA3616">
        <w:t>s</w:t>
      </w:r>
      <w:r>
        <w:t xml:space="preserve"> provider</w:t>
      </w:r>
      <w:r w:rsidR="00BA3616">
        <w:t xml:space="preserve"> is to</w:t>
      </w:r>
      <w:r>
        <w:t xml:space="preserve"> stipulate the data location, restrict data relocation without </w:t>
      </w:r>
      <w:r w:rsidR="0027218A">
        <w:t>agency</w:t>
      </w:r>
      <w:r>
        <w:t xml:space="preserve"> consent and align with </w:t>
      </w:r>
      <w:r w:rsidR="00BA3616">
        <w:t xml:space="preserve">NT </w:t>
      </w:r>
      <w:r>
        <w:t>legislative requirements.</w:t>
      </w:r>
    </w:p>
    <w:p w:rsidR="005026EE" w:rsidRDefault="005026EE" w:rsidP="0027218A">
      <w:pPr>
        <w:pStyle w:val="Heading2"/>
      </w:pPr>
      <w:bookmarkStart w:id="132" w:name="_Toc474493612"/>
      <w:bookmarkStart w:id="133" w:name="_Toc489364403"/>
      <w:r>
        <w:t>Records management and Freedom of Information</w:t>
      </w:r>
      <w:bookmarkEnd w:id="132"/>
      <w:bookmarkEnd w:id="133"/>
    </w:p>
    <w:p w:rsidR="005C17E4" w:rsidRDefault="005C17E4" w:rsidP="0027218A">
      <w:pPr>
        <w:pStyle w:val="Heading4"/>
      </w:pPr>
      <w:r>
        <w:t>Agencies must ensure th</w:t>
      </w:r>
      <w:r w:rsidR="00BA3616">
        <w:t xml:space="preserve">at their </w:t>
      </w:r>
      <w:r>
        <w:t xml:space="preserve">obligations under the </w:t>
      </w:r>
      <w:r w:rsidRPr="007B4F74">
        <w:rPr>
          <w:i/>
        </w:rPr>
        <w:t>Information Act</w:t>
      </w:r>
      <w:r>
        <w:t xml:space="preserve"> are </w:t>
      </w:r>
      <w:r w:rsidR="00044141">
        <w:t xml:space="preserve">able to be </w:t>
      </w:r>
      <w:r>
        <w:t>met</w:t>
      </w:r>
      <w:r w:rsidR="00BA3616">
        <w:t>.</w:t>
      </w:r>
    </w:p>
    <w:p w:rsidR="005026EE" w:rsidRDefault="005026EE" w:rsidP="00AD700E">
      <w:pPr>
        <w:pStyle w:val="NumberedPara"/>
        <w:numPr>
          <w:ilvl w:val="0"/>
          <w:numId w:val="43"/>
        </w:numPr>
      </w:pPr>
      <w:r>
        <w:t xml:space="preserve">The </w:t>
      </w:r>
      <w:r w:rsidR="0027218A">
        <w:t>agency</w:t>
      </w:r>
      <w:r>
        <w:t xml:space="preserve"> </w:t>
      </w:r>
      <w:r w:rsidR="00BA3616">
        <w:t>must be c</w:t>
      </w:r>
      <w:r>
        <w:t xml:space="preserve">onfident that the contractual arrangement with the external cloud services provider will enable the </w:t>
      </w:r>
      <w:r w:rsidR="0027218A">
        <w:t>agency</w:t>
      </w:r>
      <w:r>
        <w:t xml:space="preserve"> to meet its </w:t>
      </w:r>
      <w:r w:rsidR="00BA3616">
        <w:t>F</w:t>
      </w:r>
      <w:r>
        <w:t xml:space="preserve">reedom </w:t>
      </w:r>
      <w:r w:rsidR="0027218A">
        <w:t>o</w:t>
      </w:r>
      <w:r>
        <w:t xml:space="preserve">f </w:t>
      </w:r>
      <w:r w:rsidR="00BA3616">
        <w:t>I</w:t>
      </w:r>
      <w:r>
        <w:t xml:space="preserve">nformation and records management obligations under the </w:t>
      </w:r>
      <w:r w:rsidRPr="00AD700E">
        <w:rPr>
          <w:i/>
        </w:rPr>
        <w:t xml:space="preserve">Information Act </w:t>
      </w:r>
      <w:r>
        <w:t xml:space="preserve">(NT); the </w:t>
      </w:r>
      <w:r w:rsidR="00C5542B">
        <w:rPr>
          <w:b/>
        </w:rPr>
        <w:t>r</w:t>
      </w:r>
      <w:r w:rsidRPr="00C5542B">
        <w:rPr>
          <w:b/>
        </w:rPr>
        <w:t xml:space="preserve">ecords </w:t>
      </w:r>
      <w:r w:rsidR="00C5542B">
        <w:rPr>
          <w:b/>
        </w:rPr>
        <w:t>management s</w:t>
      </w:r>
      <w:r w:rsidRPr="00C5542B">
        <w:rPr>
          <w:b/>
        </w:rPr>
        <w:t xml:space="preserve">tandards for </w:t>
      </w:r>
      <w:r w:rsidR="00C5542B">
        <w:rPr>
          <w:b/>
        </w:rPr>
        <w:t>p</w:t>
      </w:r>
      <w:r w:rsidRPr="00C5542B">
        <w:rPr>
          <w:b/>
        </w:rPr>
        <w:t xml:space="preserve">ublic </w:t>
      </w:r>
      <w:r w:rsidR="00C5542B">
        <w:rPr>
          <w:b/>
        </w:rPr>
        <w:t>sector o</w:t>
      </w:r>
      <w:r w:rsidRPr="00C5542B">
        <w:rPr>
          <w:b/>
        </w:rPr>
        <w:t>rganisations in the Northern Territory</w:t>
      </w:r>
      <w:r>
        <w:t>; and any other recording or reporting obligations that may be applicable, such as requirements specified in agreements with the Australian Government.</w:t>
      </w:r>
    </w:p>
    <w:p w:rsidR="00585F91" w:rsidRDefault="00585F91" w:rsidP="0027218A">
      <w:pPr>
        <w:pStyle w:val="Heading2"/>
      </w:pPr>
      <w:bookmarkStart w:id="134" w:name="_Toc489364404"/>
      <w:r>
        <w:lastRenderedPageBreak/>
        <w:t>Audit</w:t>
      </w:r>
      <w:bookmarkEnd w:id="134"/>
    </w:p>
    <w:p w:rsidR="00EB1AC7" w:rsidRDefault="00EB1AC7" w:rsidP="0027218A">
      <w:pPr>
        <w:pStyle w:val="Heading4"/>
      </w:pPr>
      <w:r>
        <w:t>Agencies are subject to audit by the NT Auditor-General under</w:t>
      </w:r>
      <w:r w:rsidRPr="00EF3892">
        <w:t xml:space="preserve"> </w:t>
      </w:r>
      <w:r>
        <w:t xml:space="preserve">the </w:t>
      </w:r>
      <w:r w:rsidRPr="00EA3C81">
        <w:rPr>
          <w:i/>
        </w:rPr>
        <w:t>Audit Act</w:t>
      </w:r>
      <w:r w:rsidRPr="007B4F74">
        <w:t xml:space="preserve"> </w:t>
      </w:r>
      <w:r>
        <w:t xml:space="preserve">(NT) and are required to provide authorised auditors with full access to </w:t>
      </w:r>
      <w:r w:rsidR="0027218A">
        <w:t>agency</w:t>
      </w:r>
      <w:r>
        <w:t xml:space="preserve"> records, systems and information.</w:t>
      </w:r>
    </w:p>
    <w:p w:rsidR="00B70CA7" w:rsidRDefault="005026EE" w:rsidP="00AD700E">
      <w:pPr>
        <w:pStyle w:val="NumberedPara"/>
        <w:numPr>
          <w:ilvl w:val="0"/>
          <w:numId w:val="44"/>
        </w:numPr>
      </w:pPr>
      <w:r>
        <w:t xml:space="preserve">Agencies are to give consideration as to how audit requirements will be met for information held by an external cloud services provider on the </w:t>
      </w:r>
      <w:r w:rsidR="0027218A">
        <w:t>agency</w:t>
      </w:r>
      <w:r>
        <w:t>’s behalf, including audit access and review of processes.</w:t>
      </w:r>
    </w:p>
    <w:p w:rsidR="00B70CA7" w:rsidRDefault="005026EE" w:rsidP="00AD700E">
      <w:pPr>
        <w:pStyle w:val="NumberedPara"/>
        <w:numPr>
          <w:ilvl w:val="0"/>
          <w:numId w:val="44"/>
        </w:numPr>
      </w:pPr>
      <w:r>
        <w:t xml:space="preserve">Agencies are to incorporate appropriate audit provisions within their contractual arrangements with </w:t>
      </w:r>
      <w:r w:rsidR="00585F91">
        <w:t xml:space="preserve">an </w:t>
      </w:r>
      <w:r>
        <w:t>external cloud services provider.</w:t>
      </w:r>
    </w:p>
    <w:p w:rsidR="00822EBC" w:rsidRDefault="00822EBC" w:rsidP="007B4F74">
      <w:pPr>
        <w:pStyle w:val="Heading1"/>
        <w:keepNext w:val="0"/>
        <w:widowControl w:val="0"/>
      </w:pPr>
      <w:bookmarkStart w:id="135" w:name="_Toc482699232"/>
      <w:bookmarkStart w:id="136" w:name="_Toc482699233"/>
      <w:bookmarkStart w:id="137" w:name="_Toc482699234"/>
      <w:bookmarkStart w:id="138" w:name="_Toc482699235"/>
      <w:bookmarkStart w:id="139" w:name="_Toc482699236"/>
      <w:bookmarkStart w:id="140" w:name="_Toc482699237"/>
      <w:bookmarkStart w:id="141" w:name="_Toc482699238"/>
      <w:bookmarkStart w:id="142" w:name="_Toc482699239"/>
      <w:bookmarkStart w:id="143" w:name="_Toc482699240"/>
      <w:bookmarkStart w:id="144" w:name="_Toc482699241"/>
      <w:bookmarkStart w:id="145" w:name="_Toc482699242"/>
      <w:bookmarkStart w:id="146" w:name="_Toc482699243"/>
      <w:bookmarkStart w:id="147" w:name="_Toc482699244"/>
      <w:bookmarkStart w:id="148" w:name="_Toc482699245"/>
      <w:bookmarkStart w:id="149" w:name="_Toc482699246"/>
      <w:bookmarkStart w:id="150" w:name="_Toc482699247"/>
      <w:bookmarkStart w:id="151" w:name="_Toc482699248"/>
      <w:bookmarkStart w:id="152" w:name="_Toc482699249"/>
      <w:bookmarkStart w:id="153" w:name="_Toc482699250"/>
      <w:bookmarkStart w:id="154" w:name="_Toc482699251"/>
      <w:bookmarkStart w:id="155" w:name="_Toc482699252"/>
      <w:bookmarkStart w:id="156" w:name="_Toc482699253"/>
      <w:bookmarkStart w:id="157" w:name="_Toc482699254"/>
      <w:bookmarkStart w:id="158" w:name="_Toc482699255"/>
      <w:bookmarkStart w:id="159" w:name="_Toc482699256"/>
      <w:bookmarkStart w:id="160" w:name="_Toc482699257"/>
      <w:bookmarkStart w:id="161" w:name="_Toc482699258"/>
      <w:bookmarkStart w:id="162" w:name="_Toc482699259"/>
      <w:bookmarkStart w:id="163" w:name="_Toc482699260"/>
      <w:bookmarkStart w:id="164" w:name="_Toc482699261"/>
      <w:bookmarkStart w:id="165" w:name="_Toc482699262"/>
      <w:bookmarkStart w:id="166" w:name="_Toc482699263"/>
      <w:bookmarkStart w:id="167" w:name="_Toc482699264"/>
      <w:bookmarkStart w:id="168" w:name="_Toc482699265"/>
      <w:bookmarkStart w:id="169" w:name="_Toc482699266"/>
      <w:bookmarkStart w:id="170" w:name="_Toc474493620"/>
      <w:bookmarkStart w:id="171" w:name="_Toc489364405"/>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t>Procurement and contract management</w:t>
      </w:r>
      <w:bookmarkEnd w:id="170"/>
      <w:r w:rsidR="009E23EB">
        <w:t xml:space="preserve"> requirements</w:t>
      </w:r>
      <w:bookmarkEnd w:id="171"/>
    </w:p>
    <w:p w:rsidR="00BA3616" w:rsidRPr="00BA3616" w:rsidRDefault="009E23EB" w:rsidP="0027218A">
      <w:pPr>
        <w:pStyle w:val="Heading2"/>
      </w:pPr>
      <w:bookmarkStart w:id="172" w:name="_Toc489364406"/>
      <w:r>
        <w:t>Procurement</w:t>
      </w:r>
      <w:bookmarkEnd w:id="172"/>
    </w:p>
    <w:p w:rsidR="00822EBC" w:rsidRDefault="00822EBC" w:rsidP="0027218A">
      <w:pPr>
        <w:pStyle w:val="Heading4"/>
      </w:pPr>
      <w:r>
        <w:t>Agenc</w:t>
      </w:r>
      <w:r w:rsidR="00A1106B">
        <w:t>ies</w:t>
      </w:r>
      <w:r>
        <w:t xml:space="preserve"> must comply with the NTG Procurement Framework </w:t>
      </w:r>
      <w:r w:rsidR="00A1106B">
        <w:t xml:space="preserve">when buying </w:t>
      </w:r>
      <w:r>
        <w:t xml:space="preserve">external cloud services, including </w:t>
      </w:r>
      <w:r w:rsidR="007263A4">
        <w:t xml:space="preserve">the principles of </w:t>
      </w:r>
      <w:r w:rsidR="00BA3616">
        <w:t xml:space="preserve">open </w:t>
      </w:r>
      <w:r>
        <w:t xml:space="preserve">tendering, fairness and </w:t>
      </w:r>
      <w:r w:rsidR="00E159DD">
        <w:t>equity;</w:t>
      </w:r>
      <w:r>
        <w:t xml:space="preserve"> </w:t>
      </w:r>
      <w:r w:rsidR="00672201">
        <w:t>governments</w:t>
      </w:r>
      <w:r>
        <w:t xml:space="preserve"> buy local policy and value for </w:t>
      </w:r>
      <w:r w:rsidR="00BA3616">
        <w:t>Territory</w:t>
      </w:r>
      <w:r>
        <w:t>.</w:t>
      </w:r>
    </w:p>
    <w:p w:rsidR="00822EBC" w:rsidRDefault="009E23EB" w:rsidP="00AD700E">
      <w:pPr>
        <w:pStyle w:val="NumberedPara"/>
        <w:numPr>
          <w:ilvl w:val="0"/>
          <w:numId w:val="45"/>
        </w:numPr>
      </w:pPr>
      <w:r>
        <w:t>Sourcing an external cloud services provider is no different to sourcing supply of any other service</w:t>
      </w:r>
      <w:r w:rsidR="00427136">
        <w:t xml:space="preserve">. </w:t>
      </w:r>
      <w:r>
        <w:t xml:space="preserve">Agencies are required to follow normal processes and comply with the </w:t>
      </w:r>
      <w:r w:rsidR="00427136" w:rsidRPr="00AD700E">
        <w:rPr>
          <w:i/>
        </w:rPr>
        <w:t>Procurement</w:t>
      </w:r>
      <w:r w:rsidRPr="00AD700E">
        <w:rPr>
          <w:i/>
        </w:rPr>
        <w:t xml:space="preserve"> Act</w:t>
      </w:r>
      <w:r w:rsidR="00C5542B">
        <w:t xml:space="preserve"> and d</w:t>
      </w:r>
      <w:r w:rsidR="00672201">
        <w:t>irections.</w:t>
      </w:r>
    </w:p>
    <w:p w:rsidR="009E23EB" w:rsidRDefault="00427136" w:rsidP="0027218A">
      <w:pPr>
        <w:pStyle w:val="Heading2"/>
      </w:pPr>
      <w:bookmarkStart w:id="173" w:name="_Toc489364407"/>
      <w:r>
        <w:t>Contracts</w:t>
      </w:r>
      <w:bookmarkEnd w:id="173"/>
    </w:p>
    <w:p w:rsidR="00427136" w:rsidRDefault="009E23EB" w:rsidP="0027218A">
      <w:pPr>
        <w:pStyle w:val="Heading4"/>
      </w:pPr>
      <w:r>
        <w:t xml:space="preserve">Agencies must ensure that </w:t>
      </w:r>
      <w:r w:rsidR="00427136">
        <w:t xml:space="preserve">contracts </w:t>
      </w:r>
      <w:r>
        <w:t>with external cloud services provider</w:t>
      </w:r>
      <w:r w:rsidR="00427136">
        <w:t>s appropriately protect the NTG’s interests and are</w:t>
      </w:r>
      <w:r>
        <w:t xml:space="preserve"> in accordance with </w:t>
      </w:r>
      <w:r w:rsidR="00427136">
        <w:t>NTG contracting terms.</w:t>
      </w:r>
    </w:p>
    <w:p w:rsidR="009E23EB" w:rsidRDefault="00427136" w:rsidP="0027218A">
      <w:pPr>
        <w:pStyle w:val="Heading4"/>
      </w:pPr>
      <w:r>
        <w:t xml:space="preserve">Agencies must ensure that suitable contractual agreements </w:t>
      </w:r>
      <w:r w:rsidR="009E23EB">
        <w:t>are in place prior to allowing NTG data or computing environments to be accessed by or provided to an external cloud service provider.</w:t>
      </w:r>
    </w:p>
    <w:p w:rsidR="00B70CA7" w:rsidRDefault="009E23EB" w:rsidP="00AD700E">
      <w:pPr>
        <w:pStyle w:val="NumberedPara"/>
        <w:numPr>
          <w:ilvl w:val="0"/>
          <w:numId w:val="46"/>
        </w:numPr>
      </w:pPr>
      <w:r>
        <w:t>Contractual arrangements will be agreed through the procurement process, based on standard NTG contract conditions, and supplemented by specific cloud appendixes, incorporating ongoing contract management and contractor performance requirements.</w:t>
      </w:r>
    </w:p>
    <w:p w:rsidR="00822EBC" w:rsidRDefault="00822EBC" w:rsidP="0027218A">
      <w:pPr>
        <w:pStyle w:val="Heading4"/>
      </w:pPr>
      <w:r>
        <w:t>Agenc</w:t>
      </w:r>
      <w:r w:rsidR="00A1106B">
        <w:t>ies</w:t>
      </w:r>
      <w:r>
        <w:t xml:space="preserve"> must have practices in place to ensure that the contract is managed effectively throughout its term.</w:t>
      </w:r>
    </w:p>
    <w:p w:rsidR="00822EBC" w:rsidRDefault="00822EBC" w:rsidP="00AD700E">
      <w:pPr>
        <w:pStyle w:val="NumberedPara"/>
        <w:numPr>
          <w:ilvl w:val="0"/>
          <w:numId w:val="47"/>
        </w:numPr>
      </w:pPr>
      <w:r>
        <w:t xml:space="preserve">Some elements of the procurement process and contract conditions are set out in this </w:t>
      </w:r>
      <w:r w:rsidR="00E34BFA">
        <w:t>standard</w:t>
      </w:r>
      <w:r>
        <w:t xml:space="preserve"> as they have particular relevance or importance for external cloud service arrangements. It is expected that existing NTG procurement and contract provisions will be generally sufficient for sourcing external cloud services, supplemented where necessary and outlined in this </w:t>
      </w:r>
      <w:r w:rsidR="00E34BFA">
        <w:t>standard</w:t>
      </w:r>
      <w:r>
        <w:t xml:space="preserve"> with specific provisions to protect the NTG.</w:t>
      </w:r>
    </w:p>
    <w:p w:rsidR="007263A4" w:rsidRDefault="007263A4" w:rsidP="0027218A">
      <w:pPr>
        <w:pStyle w:val="Heading2"/>
      </w:pPr>
      <w:bookmarkStart w:id="174" w:name="_Toc489364408"/>
      <w:r>
        <w:lastRenderedPageBreak/>
        <w:t>Legal review and advice</w:t>
      </w:r>
      <w:bookmarkEnd w:id="174"/>
    </w:p>
    <w:p w:rsidR="007263A4" w:rsidRDefault="007263A4" w:rsidP="0027218A">
      <w:pPr>
        <w:pStyle w:val="Heading4"/>
      </w:pPr>
      <w:r w:rsidRPr="00221145">
        <w:t>Agencies</w:t>
      </w:r>
      <w:r w:rsidRPr="009053EE">
        <w:t xml:space="preserve"> must</w:t>
      </w:r>
      <w:r w:rsidRPr="00180D67">
        <w:t xml:space="preserve"> obtain and have regard to legal advice </w:t>
      </w:r>
      <w:r>
        <w:t xml:space="preserve">regarding </w:t>
      </w:r>
      <w:r w:rsidRPr="00221145">
        <w:t>legislative</w:t>
      </w:r>
      <w:r>
        <w:t xml:space="preserve"> requirements, procurement and contractual arrangements.</w:t>
      </w:r>
    </w:p>
    <w:p w:rsidR="008C2E9C" w:rsidRDefault="008C2E9C" w:rsidP="00AD700E">
      <w:pPr>
        <w:pStyle w:val="NumberedPara"/>
        <w:numPr>
          <w:ilvl w:val="0"/>
          <w:numId w:val="48"/>
        </w:numPr>
      </w:pPr>
      <w:r>
        <w:t xml:space="preserve">Controls throughout this </w:t>
      </w:r>
      <w:r w:rsidR="00E34BFA">
        <w:t>standard</w:t>
      </w:r>
      <w:r>
        <w:t xml:space="preserve"> make reference to </w:t>
      </w:r>
      <w:r w:rsidR="0027218A">
        <w:t>agenc</w:t>
      </w:r>
      <w:r>
        <w:t xml:space="preserve">ies’ rights, obligations, responsibilities and protections. Legal review and advice should be obtained where appropriate in relation to all such matters and in accord with normal government practices where </w:t>
      </w:r>
      <w:r w:rsidR="0027218A">
        <w:t>agenc</w:t>
      </w:r>
      <w:r>
        <w:t>ies are considering new or changed business risks, undertaking procurement actions, initiating contractual arrangements or ensuring legislative compliance.</w:t>
      </w:r>
    </w:p>
    <w:p w:rsidR="007263A4" w:rsidRDefault="007263A4" w:rsidP="00AD700E">
      <w:pPr>
        <w:pStyle w:val="NumberedPara"/>
        <w:numPr>
          <w:ilvl w:val="0"/>
          <w:numId w:val="48"/>
        </w:numPr>
      </w:pPr>
      <w:r>
        <w:t xml:space="preserve">The legal advice should address any legal risks and mitigations, ways to protect the </w:t>
      </w:r>
      <w:r w:rsidR="0027218A">
        <w:t>agency</w:t>
      </w:r>
      <w:r>
        <w:t xml:space="preserve">’s rights and identification of any legal obligations the </w:t>
      </w:r>
      <w:r w:rsidR="0027218A">
        <w:t>agency</w:t>
      </w:r>
      <w:r>
        <w:t xml:space="preserve"> is required to meet.</w:t>
      </w:r>
    </w:p>
    <w:p w:rsidR="009E23EB" w:rsidRPr="009053EE" w:rsidRDefault="009E23EB" w:rsidP="0027218A">
      <w:pPr>
        <w:pStyle w:val="Heading2"/>
      </w:pPr>
      <w:bookmarkStart w:id="175" w:name="_Toc489364409"/>
      <w:r w:rsidRPr="009053EE">
        <w:t>Costs</w:t>
      </w:r>
      <w:bookmarkEnd w:id="175"/>
    </w:p>
    <w:p w:rsidR="00B70CA7" w:rsidRDefault="009E23EB" w:rsidP="0027218A">
      <w:pPr>
        <w:pStyle w:val="Heading4"/>
      </w:pPr>
      <w:r>
        <w:t>Agencies must have certainty of the total costs of an external cloud services arrangement</w:t>
      </w:r>
      <w:r w:rsidR="00427136">
        <w:t xml:space="preserve"> prior to entering into the arrangement.</w:t>
      </w:r>
    </w:p>
    <w:p w:rsidR="00A81110" w:rsidRDefault="009E23EB" w:rsidP="00AD700E">
      <w:pPr>
        <w:pStyle w:val="NumberedPara"/>
        <w:numPr>
          <w:ilvl w:val="0"/>
          <w:numId w:val="49"/>
        </w:numPr>
      </w:pPr>
      <w:r>
        <w:t xml:space="preserve">As part of the </w:t>
      </w:r>
      <w:proofErr w:type="gramStart"/>
      <w:r w:rsidR="00672201">
        <w:t>agency’s</w:t>
      </w:r>
      <w:proofErr w:type="gramEnd"/>
      <w:r>
        <w:t xml:space="preserve"> due diligence evaluation, the </w:t>
      </w:r>
      <w:r w:rsidR="0027218A">
        <w:t>agency</w:t>
      </w:r>
      <w:r>
        <w:t xml:space="preserve"> should have knowledge of potential costs </w:t>
      </w:r>
      <w:r w:rsidR="004F018F">
        <w:t>in the event</w:t>
      </w:r>
      <w:r>
        <w:t xml:space="preserve"> the external cloud services provider fail</w:t>
      </w:r>
      <w:r w:rsidR="004F018F">
        <w:t>s</w:t>
      </w:r>
      <w:r>
        <w:t xml:space="preserve"> to deliver the required services (costs to implement contingency plans).</w:t>
      </w:r>
    </w:p>
    <w:p w:rsidR="009E23EB" w:rsidRDefault="009E23EB" w:rsidP="00AD700E">
      <w:pPr>
        <w:pStyle w:val="NumberedPara"/>
        <w:numPr>
          <w:ilvl w:val="0"/>
          <w:numId w:val="49"/>
        </w:numPr>
      </w:pPr>
      <w:r>
        <w:t>All costs should be fully identified, including costs related to:</w:t>
      </w:r>
    </w:p>
    <w:p w:rsidR="009E23EB" w:rsidRDefault="009E23EB" w:rsidP="00AD700E">
      <w:pPr>
        <w:pStyle w:val="NumberedPara"/>
        <w:numPr>
          <w:ilvl w:val="1"/>
          <w:numId w:val="49"/>
        </w:numPr>
      </w:pPr>
      <w:r>
        <w:t>data transmission to and f</w:t>
      </w:r>
      <w:r w:rsidR="0027218A">
        <w:t>rom the external cloud service</w:t>
      </w:r>
    </w:p>
    <w:p w:rsidR="009E23EB" w:rsidRDefault="0027218A" w:rsidP="00AD700E">
      <w:pPr>
        <w:pStyle w:val="NumberedPara"/>
        <w:numPr>
          <w:ilvl w:val="1"/>
          <w:numId w:val="49"/>
        </w:numPr>
      </w:pPr>
      <w:r>
        <w:t>growth of data stored</w:t>
      </w:r>
    </w:p>
    <w:p w:rsidR="009E23EB" w:rsidRDefault="009E23EB" w:rsidP="00AD700E">
      <w:pPr>
        <w:pStyle w:val="NumberedPara"/>
        <w:numPr>
          <w:ilvl w:val="1"/>
          <w:numId w:val="49"/>
        </w:numPr>
      </w:pPr>
      <w:r>
        <w:t>a</w:t>
      </w:r>
      <w:r w:rsidR="0027218A">
        <w:t>udit and performance monitoring</w:t>
      </w:r>
    </w:p>
    <w:p w:rsidR="009E23EB" w:rsidRDefault="009E23EB" w:rsidP="00AD700E">
      <w:pPr>
        <w:pStyle w:val="NumberedPara"/>
        <w:numPr>
          <w:ilvl w:val="1"/>
          <w:numId w:val="49"/>
        </w:numPr>
      </w:pPr>
      <w:proofErr w:type="gramStart"/>
      <w:r>
        <w:t>transitioning-out</w:t>
      </w:r>
      <w:proofErr w:type="gramEnd"/>
      <w:r>
        <w:t xml:space="preserve"> at end of contract or on termination.</w:t>
      </w:r>
    </w:p>
    <w:p w:rsidR="00C71EA8" w:rsidRDefault="00C71EA8" w:rsidP="0027218A">
      <w:pPr>
        <w:pStyle w:val="Heading2"/>
      </w:pPr>
      <w:bookmarkStart w:id="176" w:name="_Toc489364410"/>
      <w:r>
        <w:t>Liabilities and indemnities</w:t>
      </w:r>
      <w:bookmarkEnd w:id="176"/>
    </w:p>
    <w:p w:rsidR="00C71EA8" w:rsidRDefault="00C71EA8" w:rsidP="0027218A">
      <w:pPr>
        <w:pStyle w:val="Heading4"/>
      </w:pPr>
      <w:r>
        <w:t xml:space="preserve">Agencies must ensure contract </w:t>
      </w:r>
      <w:r w:rsidR="00427136">
        <w:t>agreements set out</w:t>
      </w:r>
      <w:r>
        <w:t xml:space="preserve"> appropriate provisions for liabilities and indemnities, including adequate compensation in the event of data loss or misuse by the cloud services provider.</w:t>
      </w:r>
    </w:p>
    <w:p w:rsidR="007263A4" w:rsidRDefault="008C2E9C" w:rsidP="0027218A">
      <w:pPr>
        <w:pStyle w:val="Heading2"/>
      </w:pPr>
      <w:bookmarkStart w:id="177" w:name="_Toc489364411"/>
      <w:r>
        <w:t>Contractor p</w:t>
      </w:r>
      <w:r w:rsidR="007263A4">
        <w:t>erformance management</w:t>
      </w:r>
      <w:bookmarkEnd w:id="177"/>
    </w:p>
    <w:p w:rsidR="007263A4" w:rsidRDefault="007263A4" w:rsidP="0027218A">
      <w:pPr>
        <w:pStyle w:val="Heading4"/>
      </w:pPr>
      <w:r>
        <w:t>Agencies must ensure agreements with external cloud services providers incorporate adequate provision for contractor performance management over the contract term.</w:t>
      </w:r>
    </w:p>
    <w:p w:rsidR="007263A4" w:rsidRDefault="007263A4" w:rsidP="00AD700E">
      <w:pPr>
        <w:pStyle w:val="NumberedPara"/>
        <w:numPr>
          <w:ilvl w:val="0"/>
          <w:numId w:val="50"/>
        </w:numPr>
      </w:pPr>
      <w:r>
        <w:t>Provisions for contractor performance management should include:</w:t>
      </w:r>
    </w:p>
    <w:p w:rsidR="007263A4" w:rsidRDefault="007263A4" w:rsidP="00AD700E">
      <w:pPr>
        <w:pStyle w:val="NumberedPara"/>
        <w:numPr>
          <w:ilvl w:val="1"/>
          <w:numId w:val="50"/>
        </w:numPr>
      </w:pPr>
      <w:r>
        <w:t>holding the provider to meaningful, measurable and auditable service levels, with consequences for non-delivery or not attaining required service levels</w:t>
      </w:r>
    </w:p>
    <w:p w:rsidR="007263A4" w:rsidRDefault="007263A4" w:rsidP="00AD700E">
      <w:pPr>
        <w:pStyle w:val="NumberedPara"/>
        <w:numPr>
          <w:ilvl w:val="1"/>
          <w:numId w:val="50"/>
        </w:numPr>
      </w:pPr>
      <w:r>
        <w:t>specifying response times the provider is required to meet</w:t>
      </w:r>
    </w:p>
    <w:p w:rsidR="007263A4" w:rsidRDefault="007263A4" w:rsidP="00AD700E">
      <w:pPr>
        <w:pStyle w:val="NumberedPara"/>
        <w:numPr>
          <w:ilvl w:val="1"/>
          <w:numId w:val="50"/>
        </w:numPr>
      </w:pPr>
      <w:r>
        <w:lastRenderedPageBreak/>
        <w:t>assuring continuity and flexibility of service, with ability to quickly recover from any disaster events</w:t>
      </w:r>
    </w:p>
    <w:p w:rsidR="007263A4" w:rsidRPr="009A1AAF" w:rsidRDefault="007263A4" w:rsidP="00AD700E">
      <w:pPr>
        <w:pStyle w:val="NumberedPara"/>
        <w:numPr>
          <w:ilvl w:val="1"/>
          <w:numId w:val="50"/>
        </w:numPr>
      </w:pPr>
      <w:r>
        <w:t>full reporting on contract performance by the service provider on a stipulated regular basis</w:t>
      </w:r>
    </w:p>
    <w:p w:rsidR="007263A4" w:rsidRDefault="007263A4" w:rsidP="00AD700E">
      <w:pPr>
        <w:pStyle w:val="NumberedPara"/>
        <w:numPr>
          <w:ilvl w:val="1"/>
          <w:numId w:val="50"/>
        </w:numPr>
      </w:pPr>
      <w:proofErr w:type="gramStart"/>
      <w:r>
        <w:t>provision</w:t>
      </w:r>
      <w:proofErr w:type="gramEnd"/>
      <w:r>
        <w:t xml:space="preserve"> to independently audit the service provider’s compliance with contract requirements and address penalties for any non-compliance.</w:t>
      </w:r>
    </w:p>
    <w:p w:rsidR="00585F91" w:rsidRDefault="00585F91" w:rsidP="0027218A">
      <w:pPr>
        <w:pStyle w:val="Heading2"/>
      </w:pPr>
      <w:bookmarkStart w:id="178" w:name="_Toc489364412"/>
      <w:r>
        <w:t>Subcontractors</w:t>
      </w:r>
      <w:bookmarkEnd w:id="178"/>
    </w:p>
    <w:p w:rsidR="00585F91" w:rsidRDefault="00585F91" w:rsidP="0027218A">
      <w:pPr>
        <w:pStyle w:val="Heading4"/>
      </w:pPr>
      <w:r>
        <w:t>Agencies must understand arrangements and have visibility of any third parties utilised by the external cloud services provider in delivering their services.</w:t>
      </w:r>
    </w:p>
    <w:p w:rsidR="00585F91" w:rsidRDefault="00585F91" w:rsidP="00AD700E">
      <w:pPr>
        <w:pStyle w:val="NumberedPara"/>
        <w:numPr>
          <w:ilvl w:val="0"/>
          <w:numId w:val="51"/>
        </w:numPr>
      </w:pPr>
      <w:r>
        <w:t xml:space="preserve">The requirements under this </w:t>
      </w:r>
      <w:r w:rsidR="00E34BFA">
        <w:t>standard</w:t>
      </w:r>
      <w:r>
        <w:t xml:space="preserve"> are to be applied equally to subcontractors and third parties of the external cloud services provider that are integral to delivering the cloud services to the </w:t>
      </w:r>
      <w:r w:rsidR="0027218A">
        <w:t>agency</w:t>
      </w:r>
      <w:r w:rsidR="00672201">
        <w:t>.</w:t>
      </w:r>
    </w:p>
    <w:p w:rsidR="00585F91" w:rsidRPr="00822EBC" w:rsidRDefault="00585F91" w:rsidP="00AD700E">
      <w:pPr>
        <w:pStyle w:val="NumberedPara"/>
        <w:numPr>
          <w:ilvl w:val="0"/>
          <w:numId w:val="51"/>
        </w:numPr>
      </w:pPr>
      <w:r>
        <w:t xml:space="preserve">The </w:t>
      </w:r>
      <w:r w:rsidR="0027218A">
        <w:t>agency</w:t>
      </w:r>
      <w:r>
        <w:t xml:space="preserve"> should obtain appropriate assurance regarding use of subcontractors by the service provider and apply strict controls within their contract with the external cloud services provider.</w:t>
      </w:r>
    </w:p>
    <w:p w:rsidR="00C71EA8" w:rsidRDefault="00C71EA8" w:rsidP="0027218A">
      <w:pPr>
        <w:pStyle w:val="Heading2"/>
      </w:pPr>
      <w:bookmarkStart w:id="179" w:name="_Toc489364413"/>
      <w:r>
        <w:t>Termination rights and transition-out provisions</w:t>
      </w:r>
      <w:bookmarkEnd w:id="179"/>
    </w:p>
    <w:p w:rsidR="00B70CA7" w:rsidRDefault="00C71EA8" w:rsidP="0027218A">
      <w:pPr>
        <w:pStyle w:val="Heading4"/>
      </w:pPr>
      <w:r>
        <w:t>Agencies must ensure that the rights and obligations of the parties to a cloud services arrangement for disengagement or transition-out adequately protect the NTG’s interests and are clearly prescribed.</w:t>
      </w:r>
    </w:p>
    <w:p w:rsidR="00C71EA8" w:rsidRDefault="00C71EA8" w:rsidP="00AD700E">
      <w:pPr>
        <w:pStyle w:val="NumberedPara"/>
        <w:numPr>
          <w:ilvl w:val="0"/>
          <w:numId w:val="52"/>
        </w:numPr>
      </w:pPr>
      <w:r>
        <w:t xml:space="preserve">While much focus is placed on ensuring appropriate protections for the NTG in establishing an external cloud service arrangement, it is equally important that </w:t>
      </w:r>
      <w:r w:rsidR="0027218A">
        <w:t>agency</w:t>
      </w:r>
      <w:r>
        <w:t xml:space="preserve"> information can quickly, efficiently and accurately be extracted from the external cloud service provider’s environment should this become necessary.</w:t>
      </w:r>
    </w:p>
    <w:p w:rsidR="00C71EA8" w:rsidRDefault="00C71EA8" w:rsidP="00AD700E">
      <w:pPr>
        <w:pStyle w:val="NumberedPara"/>
        <w:numPr>
          <w:ilvl w:val="0"/>
          <w:numId w:val="52"/>
        </w:numPr>
      </w:pPr>
      <w:r>
        <w:t xml:space="preserve">In the event that the arrangement with the external cloud services provider ceases, it is critical that </w:t>
      </w:r>
      <w:r w:rsidR="0027218A">
        <w:t>agenc</w:t>
      </w:r>
      <w:r>
        <w:t>ies have rigorous provisions in place to ensure that:</w:t>
      </w:r>
    </w:p>
    <w:p w:rsidR="00C71EA8" w:rsidRDefault="00C71EA8" w:rsidP="00AD700E">
      <w:pPr>
        <w:pStyle w:val="NumberedPara"/>
        <w:numPr>
          <w:ilvl w:val="1"/>
          <w:numId w:val="52"/>
        </w:numPr>
      </w:pPr>
      <w:r>
        <w:t>NTG data is not left stranded in the provider’s environment</w:t>
      </w:r>
      <w:r w:rsidR="00C5542B">
        <w:t>.</w:t>
      </w:r>
    </w:p>
    <w:p w:rsidR="00C71EA8" w:rsidRDefault="00C5542B" w:rsidP="00AD700E">
      <w:pPr>
        <w:pStyle w:val="NumberedPara"/>
        <w:numPr>
          <w:ilvl w:val="1"/>
          <w:numId w:val="52"/>
        </w:numPr>
      </w:pPr>
      <w:r>
        <w:t>F</w:t>
      </w:r>
      <w:r w:rsidR="00C71EA8">
        <w:t>ull and complete data can be returned to the NTG or transferred to another external cloud services provider in a usable form</w:t>
      </w:r>
      <w:r>
        <w:t>.</w:t>
      </w:r>
    </w:p>
    <w:p w:rsidR="00C71EA8" w:rsidRDefault="00C5542B" w:rsidP="00AD700E">
      <w:pPr>
        <w:pStyle w:val="NumberedPara"/>
        <w:numPr>
          <w:ilvl w:val="1"/>
          <w:numId w:val="52"/>
        </w:numPr>
      </w:pPr>
      <w:r>
        <w:t>T</w:t>
      </w:r>
      <w:r w:rsidR="00C71EA8">
        <w:t xml:space="preserve">he transfer can be achieved promptly to maintain seamless service delivery for </w:t>
      </w:r>
      <w:r w:rsidR="0027218A">
        <w:t>agency</w:t>
      </w:r>
      <w:r w:rsidR="00C71EA8">
        <w:t xml:space="preserve"> clients</w:t>
      </w:r>
      <w:r>
        <w:t>.</w:t>
      </w:r>
    </w:p>
    <w:p w:rsidR="00C71EA8" w:rsidRDefault="00C5542B" w:rsidP="00AD700E">
      <w:pPr>
        <w:pStyle w:val="NumberedPara"/>
        <w:numPr>
          <w:ilvl w:val="1"/>
          <w:numId w:val="52"/>
        </w:numPr>
      </w:pPr>
      <w:r>
        <w:t>T</w:t>
      </w:r>
      <w:r w:rsidR="00C71EA8">
        <w:t xml:space="preserve">he </w:t>
      </w:r>
      <w:r w:rsidR="0027218A">
        <w:t>agency</w:t>
      </w:r>
      <w:r w:rsidR="00C71EA8">
        <w:t xml:space="preserve"> has certainty that the external cloud services provider has not retained copies of NTG data or in any way compromised the NTG data.</w:t>
      </w:r>
    </w:p>
    <w:p w:rsidR="00B70CA7" w:rsidRDefault="00C71EA8" w:rsidP="00AD700E">
      <w:pPr>
        <w:pStyle w:val="NumberedPara"/>
        <w:numPr>
          <w:ilvl w:val="0"/>
          <w:numId w:val="52"/>
        </w:numPr>
      </w:pPr>
      <w:r>
        <w:t>Contracts with external cloud services providers are to address the circumstances in which the agreement may be terminated, including:</w:t>
      </w:r>
    </w:p>
    <w:p w:rsidR="00C71EA8" w:rsidRPr="008214E9" w:rsidRDefault="00C71EA8" w:rsidP="00AD700E">
      <w:pPr>
        <w:pStyle w:val="NumberedPara"/>
        <w:numPr>
          <w:ilvl w:val="1"/>
          <w:numId w:val="52"/>
        </w:numPr>
      </w:pPr>
      <w:proofErr w:type="gramStart"/>
      <w:r>
        <w:t>termination</w:t>
      </w:r>
      <w:proofErr w:type="gramEnd"/>
      <w:r>
        <w:t xml:space="preserve"> for convenience </w:t>
      </w:r>
      <w:r w:rsidRPr="008214E9">
        <w:t>and early termination fees: W</w:t>
      </w:r>
      <w:r w:rsidRPr="00AD700E">
        <w:rPr>
          <w:spacing w:val="1"/>
        </w:rPr>
        <w:t>h</w:t>
      </w:r>
      <w:r w:rsidRPr="008214E9">
        <w:t>e</w:t>
      </w:r>
      <w:r w:rsidRPr="00AD700E">
        <w:rPr>
          <w:spacing w:val="-2"/>
        </w:rPr>
        <w:t>r</w:t>
      </w:r>
      <w:r w:rsidRPr="008214E9">
        <w:t>e there</w:t>
      </w:r>
      <w:r w:rsidRPr="00AD700E">
        <w:rPr>
          <w:spacing w:val="-2"/>
        </w:rPr>
        <w:t xml:space="preserve"> </w:t>
      </w:r>
      <w:r w:rsidRPr="00AD700E">
        <w:rPr>
          <w:spacing w:val="1"/>
        </w:rPr>
        <w:t>i</w:t>
      </w:r>
      <w:r w:rsidRPr="008214E9">
        <w:t>s</w:t>
      </w:r>
      <w:r w:rsidRPr="00AD700E">
        <w:rPr>
          <w:spacing w:val="1"/>
        </w:rPr>
        <w:t xml:space="preserve"> </w:t>
      </w:r>
      <w:r w:rsidRPr="00AD700E">
        <w:rPr>
          <w:spacing w:val="-1"/>
        </w:rPr>
        <w:t>p</w:t>
      </w:r>
      <w:r w:rsidRPr="00AD700E">
        <w:rPr>
          <w:spacing w:val="-3"/>
        </w:rPr>
        <w:t>r</w:t>
      </w:r>
      <w:r w:rsidRPr="008214E9">
        <w:t>ov</w:t>
      </w:r>
      <w:r w:rsidRPr="00AD700E">
        <w:rPr>
          <w:spacing w:val="-2"/>
        </w:rPr>
        <w:t>i</w:t>
      </w:r>
      <w:r w:rsidRPr="00AD700E">
        <w:rPr>
          <w:spacing w:val="1"/>
        </w:rPr>
        <w:t>si</w:t>
      </w:r>
      <w:r w:rsidRPr="008214E9">
        <w:t>on</w:t>
      </w:r>
      <w:r w:rsidRPr="00AD700E">
        <w:rPr>
          <w:spacing w:val="-1"/>
        </w:rPr>
        <w:t xml:space="preserve"> </w:t>
      </w:r>
      <w:r w:rsidRPr="00AD700E">
        <w:rPr>
          <w:spacing w:val="-2"/>
        </w:rPr>
        <w:t>f</w:t>
      </w:r>
      <w:r w:rsidRPr="008214E9">
        <w:t>or early</w:t>
      </w:r>
      <w:r w:rsidRPr="00AD700E">
        <w:rPr>
          <w:spacing w:val="-1"/>
        </w:rPr>
        <w:t xml:space="preserve"> t</w:t>
      </w:r>
      <w:r w:rsidRPr="008214E9">
        <w:t>e</w:t>
      </w:r>
      <w:r w:rsidRPr="00AD700E">
        <w:rPr>
          <w:spacing w:val="-2"/>
        </w:rPr>
        <w:t>r</w:t>
      </w:r>
      <w:r w:rsidRPr="00AD700E">
        <w:rPr>
          <w:spacing w:val="1"/>
        </w:rPr>
        <w:t>mi</w:t>
      </w:r>
      <w:r w:rsidRPr="00AD700E">
        <w:rPr>
          <w:spacing w:val="-1"/>
        </w:rPr>
        <w:t>n</w:t>
      </w:r>
      <w:r w:rsidRPr="008214E9">
        <w:t>a</w:t>
      </w:r>
      <w:r w:rsidRPr="00AD700E">
        <w:rPr>
          <w:spacing w:val="-3"/>
        </w:rPr>
        <w:t>t</w:t>
      </w:r>
      <w:r w:rsidRPr="00AD700E">
        <w:rPr>
          <w:spacing w:val="1"/>
        </w:rPr>
        <w:t>i</w:t>
      </w:r>
      <w:r w:rsidRPr="008214E9">
        <w:t xml:space="preserve">on, </w:t>
      </w:r>
      <w:r w:rsidR="0027218A">
        <w:t>agenc</w:t>
      </w:r>
      <w:r w:rsidRPr="00AD700E">
        <w:rPr>
          <w:spacing w:val="1"/>
        </w:rPr>
        <w:t>i</w:t>
      </w:r>
      <w:r w:rsidRPr="00AD700E">
        <w:rPr>
          <w:spacing w:val="-2"/>
        </w:rPr>
        <w:t>e</w:t>
      </w:r>
      <w:r w:rsidRPr="008214E9">
        <w:t>s</w:t>
      </w:r>
      <w:r w:rsidRPr="00AD700E">
        <w:rPr>
          <w:spacing w:val="1"/>
        </w:rPr>
        <w:t xml:space="preserve"> </w:t>
      </w:r>
      <w:r w:rsidRPr="00AD700E">
        <w:rPr>
          <w:spacing w:val="-2"/>
        </w:rPr>
        <w:t>s</w:t>
      </w:r>
      <w:r w:rsidRPr="008214E9">
        <w:t>h</w:t>
      </w:r>
      <w:r w:rsidRPr="00AD700E">
        <w:rPr>
          <w:spacing w:val="-1"/>
        </w:rPr>
        <w:t>o</w:t>
      </w:r>
      <w:r w:rsidRPr="008214E9">
        <w:t xml:space="preserve">uld </w:t>
      </w:r>
      <w:r w:rsidRPr="00AD700E">
        <w:rPr>
          <w:spacing w:val="-1"/>
        </w:rPr>
        <w:t>c</w:t>
      </w:r>
      <w:r w:rsidRPr="008214E9">
        <w:t>on</w:t>
      </w:r>
      <w:r w:rsidRPr="00AD700E">
        <w:rPr>
          <w:spacing w:val="-2"/>
        </w:rPr>
        <w:t>s</w:t>
      </w:r>
      <w:r w:rsidRPr="00AD700E">
        <w:rPr>
          <w:spacing w:val="1"/>
        </w:rPr>
        <w:t>i</w:t>
      </w:r>
      <w:r w:rsidRPr="008214E9">
        <w:t xml:space="preserve">der </w:t>
      </w:r>
      <w:r w:rsidRPr="00AD700E">
        <w:rPr>
          <w:spacing w:val="-1"/>
        </w:rPr>
        <w:t>p</w:t>
      </w:r>
      <w:r w:rsidRPr="008214E9">
        <w:t>ayme</w:t>
      </w:r>
      <w:r w:rsidRPr="00AD700E">
        <w:rPr>
          <w:spacing w:val="-1"/>
        </w:rPr>
        <w:t>n</w:t>
      </w:r>
      <w:r w:rsidRPr="008214E9">
        <w:t>ts</w:t>
      </w:r>
      <w:r w:rsidRPr="00AD700E">
        <w:rPr>
          <w:spacing w:val="1"/>
        </w:rPr>
        <w:t xml:space="preserve"> </w:t>
      </w:r>
      <w:r w:rsidRPr="008214E9">
        <w:t>a</w:t>
      </w:r>
      <w:r w:rsidRPr="00AD700E">
        <w:rPr>
          <w:spacing w:val="-1"/>
        </w:rPr>
        <w:t>p</w:t>
      </w:r>
      <w:r w:rsidRPr="008214E9">
        <w:t>pl</w:t>
      </w:r>
      <w:r>
        <w:t>icable</w:t>
      </w:r>
      <w:r w:rsidRPr="008214E9">
        <w:t xml:space="preserve"> to </w:t>
      </w:r>
      <w:r w:rsidRPr="00AD700E">
        <w:rPr>
          <w:spacing w:val="-1"/>
        </w:rPr>
        <w:t>t</w:t>
      </w:r>
      <w:r w:rsidRPr="008214E9">
        <w:t>he</w:t>
      </w:r>
      <w:r w:rsidRPr="00AD700E">
        <w:rPr>
          <w:spacing w:val="1"/>
        </w:rPr>
        <w:t xml:space="preserve"> </w:t>
      </w:r>
      <w:r w:rsidRPr="008214E9">
        <w:t>early</w:t>
      </w:r>
      <w:r w:rsidRPr="00AD700E">
        <w:rPr>
          <w:spacing w:val="-1"/>
        </w:rPr>
        <w:t xml:space="preserve"> t</w:t>
      </w:r>
      <w:r w:rsidRPr="008214E9">
        <w:t>e</w:t>
      </w:r>
      <w:r w:rsidRPr="00AD700E">
        <w:rPr>
          <w:spacing w:val="-2"/>
        </w:rPr>
        <w:t>r</w:t>
      </w:r>
      <w:r w:rsidRPr="00AD700E">
        <w:rPr>
          <w:spacing w:val="-1"/>
        </w:rPr>
        <w:t>m</w:t>
      </w:r>
      <w:r w:rsidRPr="00AD700E">
        <w:rPr>
          <w:spacing w:val="1"/>
        </w:rPr>
        <w:t>i</w:t>
      </w:r>
      <w:r w:rsidRPr="00AD700E">
        <w:rPr>
          <w:spacing w:val="-1"/>
        </w:rPr>
        <w:t>n</w:t>
      </w:r>
      <w:r w:rsidRPr="008214E9">
        <w:t>at</w:t>
      </w:r>
      <w:r w:rsidRPr="00AD700E">
        <w:rPr>
          <w:spacing w:val="1"/>
        </w:rPr>
        <w:t>i</w:t>
      </w:r>
      <w:r w:rsidRPr="008214E9">
        <w:t>o</w:t>
      </w:r>
      <w:r w:rsidRPr="00AD700E">
        <w:rPr>
          <w:spacing w:val="-3"/>
        </w:rPr>
        <w:t>n</w:t>
      </w:r>
      <w:r w:rsidRPr="008214E9">
        <w:t xml:space="preserve">. </w:t>
      </w:r>
      <w:r w:rsidRPr="00AD700E">
        <w:rPr>
          <w:spacing w:val="-2"/>
        </w:rPr>
        <w:t>I</w:t>
      </w:r>
      <w:r w:rsidRPr="008214E9">
        <w:t>f co</w:t>
      </w:r>
      <w:r w:rsidRPr="00AD700E">
        <w:rPr>
          <w:spacing w:val="1"/>
        </w:rPr>
        <w:t>m</w:t>
      </w:r>
      <w:r w:rsidRPr="008214E9">
        <w:t>pe</w:t>
      </w:r>
      <w:r w:rsidRPr="00AD700E">
        <w:rPr>
          <w:spacing w:val="-1"/>
        </w:rPr>
        <w:t>ns</w:t>
      </w:r>
      <w:r w:rsidRPr="008214E9">
        <w:t>at</w:t>
      </w:r>
      <w:r w:rsidRPr="00AD700E">
        <w:rPr>
          <w:spacing w:val="-1"/>
        </w:rPr>
        <w:t>i</w:t>
      </w:r>
      <w:r w:rsidRPr="008214E9">
        <w:t>on</w:t>
      </w:r>
      <w:r w:rsidRPr="00AD700E">
        <w:rPr>
          <w:spacing w:val="-1"/>
        </w:rPr>
        <w:t xml:space="preserve"> </w:t>
      </w:r>
      <w:r w:rsidRPr="00AD700E">
        <w:rPr>
          <w:spacing w:val="1"/>
        </w:rPr>
        <w:t>i</w:t>
      </w:r>
      <w:r w:rsidRPr="008214E9">
        <w:t>s</w:t>
      </w:r>
      <w:r w:rsidRPr="00AD700E">
        <w:rPr>
          <w:spacing w:val="1"/>
        </w:rPr>
        <w:t xml:space="preserve"> </w:t>
      </w:r>
      <w:r w:rsidRPr="008214E9">
        <w:t>a</w:t>
      </w:r>
      <w:r w:rsidRPr="00AD700E">
        <w:rPr>
          <w:spacing w:val="-1"/>
        </w:rPr>
        <w:t>p</w:t>
      </w:r>
      <w:r w:rsidRPr="008214E9">
        <w:t>p</w:t>
      </w:r>
      <w:r w:rsidRPr="00AD700E">
        <w:rPr>
          <w:spacing w:val="-3"/>
        </w:rPr>
        <w:t>r</w:t>
      </w:r>
      <w:r w:rsidRPr="008214E9">
        <w:t>o</w:t>
      </w:r>
      <w:r w:rsidRPr="00AD700E">
        <w:rPr>
          <w:spacing w:val="-2"/>
        </w:rPr>
        <w:t>p</w:t>
      </w:r>
      <w:r w:rsidRPr="008214E9">
        <w:t>r</w:t>
      </w:r>
      <w:r w:rsidRPr="00AD700E">
        <w:rPr>
          <w:spacing w:val="1"/>
        </w:rPr>
        <w:t>i</w:t>
      </w:r>
      <w:r w:rsidRPr="008214E9">
        <w:t>ate,</w:t>
      </w:r>
      <w:r w:rsidRPr="00AD700E">
        <w:rPr>
          <w:spacing w:val="-2"/>
        </w:rPr>
        <w:t xml:space="preserve"> </w:t>
      </w:r>
      <w:r w:rsidRPr="00AD700E">
        <w:rPr>
          <w:spacing w:val="1"/>
        </w:rPr>
        <w:t>i</w:t>
      </w:r>
      <w:r w:rsidRPr="008214E9">
        <w:t>t</w:t>
      </w:r>
      <w:r w:rsidRPr="00AD700E">
        <w:rPr>
          <w:spacing w:val="-1"/>
        </w:rPr>
        <w:t xml:space="preserve"> </w:t>
      </w:r>
      <w:r w:rsidRPr="00AD700E">
        <w:rPr>
          <w:spacing w:val="1"/>
        </w:rPr>
        <w:t>s</w:t>
      </w:r>
      <w:r w:rsidRPr="00AD700E">
        <w:rPr>
          <w:spacing w:val="-2"/>
        </w:rPr>
        <w:t>h</w:t>
      </w:r>
      <w:r w:rsidRPr="008214E9">
        <w:t>o</w:t>
      </w:r>
      <w:r w:rsidRPr="00AD700E">
        <w:rPr>
          <w:spacing w:val="1"/>
        </w:rPr>
        <w:t>u</w:t>
      </w:r>
      <w:r w:rsidRPr="008214E9">
        <w:t xml:space="preserve">ld </w:t>
      </w:r>
      <w:r w:rsidRPr="00AD700E">
        <w:rPr>
          <w:spacing w:val="-1"/>
        </w:rPr>
        <w:t>n</w:t>
      </w:r>
      <w:r w:rsidRPr="008214E9">
        <w:t>ot</w:t>
      </w:r>
      <w:r w:rsidRPr="00AD700E">
        <w:rPr>
          <w:spacing w:val="-3"/>
        </w:rPr>
        <w:t xml:space="preserve"> </w:t>
      </w:r>
      <w:r w:rsidRPr="008214E9">
        <w:t>e</w:t>
      </w:r>
      <w:r w:rsidRPr="00AD700E">
        <w:rPr>
          <w:spacing w:val="-1"/>
        </w:rPr>
        <w:t>x</w:t>
      </w:r>
      <w:r w:rsidRPr="00AD700E">
        <w:rPr>
          <w:spacing w:val="1"/>
        </w:rPr>
        <w:t>c</w:t>
      </w:r>
      <w:r w:rsidRPr="008214E9">
        <w:t>eed</w:t>
      </w:r>
      <w:r w:rsidRPr="00AD700E">
        <w:rPr>
          <w:spacing w:val="-2"/>
        </w:rPr>
        <w:t xml:space="preserve"> </w:t>
      </w:r>
      <w:r w:rsidRPr="00AD700E">
        <w:rPr>
          <w:spacing w:val="-1"/>
        </w:rPr>
        <w:t>r</w:t>
      </w:r>
      <w:r w:rsidRPr="008214E9">
        <w:t>ea</w:t>
      </w:r>
      <w:r w:rsidRPr="00AD700E">
        <w:rPr>
          <w:spacing w:val="1"/>
        </w:rPr>
        <w:t>s</w:t>
      </w:r>
      <w:r w:rsidRPr="008214E9">
        <w:t>ona</w:t>
      </w:r>
      <w:r w:rsidRPr="00AD700E">
        <w:rPr>
          <w:spacing w:val="-1"/>
        </w:rPr>
        <w:t>b</w:t>
      </w:r>
      <w:r w:rsidRPr="00AD700E">
        <w:rPr>
          <w:spacing w:val="-2"/>
        </w:rPr>
        <w:t>l</w:t>
      </w:r>
      <w:r w:rsidRPr="008214E9">
        <w:t>e c</w:t>
      </w:r>
      <w:r w:rsidRPr="00AD700E">
        <w:rPr>
          <w:spacing w:val="-2"/>
        </w:rPr>
        <w:t>o</w:t>
      </w:r>
      <w:r w:rsidRPr="00AD700E">
        <w:rPr>
          <w:spacing w:val="1"/>
        </w:rPr>
        <w:t>s</w:t>
      </w:r>
      <w:r w:rsidRPr="00AD700E">
        <w:rPr>
          <w:spacing w:val="-3"/>
        </w:rPr>
        <w:t>t</w:t>
      </w:r>
      <w:r w:rsidRPr="008214E9">
        <w:t>s a</w:t>
      </w:r>
      <w:r w:rsidRPr="00AD700E">
        <w:rPr>
          <w:spacing w:val="1"/>
        </w:rPr>
        <w:t>s</w:t>
      </w:r>
      <w:r w:rsidRPr="00AD700E">
        <w:rPr>
          <w:spacing w:val="-1"/>
        </w:rPr>
        <w:t>s</w:t>
      </w:r>
      <w:r w:rsidRPr="008214E9">
        <w:t>o</w:t>
      </w:r>
      <w:r w:rsidRPr="00AD700E">
        <w:rPr>
          <w:spacing w:val="-1"/>
        </w:rPr>
        <w:t>c</w:t>
      </w:r>
      <w:r w:rsidRPr="00AD700E">
        <w:rPr>
          <w:spacing w:val="1"/>
        </w:rPr>
        <w:t>i</w:t>
      </w:r>
      <w:r w:rsidRPr="008214E9">
        <w:t>at</w:t>
      </w:r>
      <w:r w:rsidRPr="00AD700E">
        <w:rPr>
          <w:spacing w:val="-2"/>
        </w:rPr>
        <w:t>e</w:t>
      </w:r>
      <w:r w:rsidRPr="008214E9">
        <w:t>d with</w:t>
      </w:r>
      <w:r w:rsidRPr="00AD700E">
        <w:rPr>
          <w:spacing w:val="1"/>
        </w:rPr>
        <w:t xml:space="preserve"> </w:t>
      </w:r>
      <w:r w:rsidRPr="00AD700E">
        <w:rPr>
          <w:spacing w:val="-3"/>
        </w:rPr>
        <w:t>t</w:t>
      </w:r>
      <w:r w:rsidRPr="008214E9">
        <w:t>he</w:t>
      </w:r>
      <w:r w:rsidRPr="00AD700E">
        <w:rPr>
          <w:spacing w:val="1"/>
        </w:rPr>
        <w:t xml:space="preserve"> </w:t>
      </w:r>
      <w:r w:rsidRPr="00AD700E">
        <w:rPr>
          <w:spacing w:val="-1"/>
        </w:rPr>
        <w:t>t</w:t>
      </w:r>
      <w:r w:rsidRPr="008214E9">
        <w:t>e</w:t>
      </w:r>
      <w:r w:rsidRPr="00AD700E">
        <w:rPr>
          <w:spacing w:val="-2"/>
        </w:rPr>
        <w:t>r</w:t>
      </w:r>
      <w:r w:rsidRPr="00AD700E">
        <w:rPr>
          <w:spacing w:val="1"/>
        </w:rPr>
        <w:t>m</w:t>
      </w:r>
      <w:r w:rsidRPr="00AD700E">
        <w:rPr>
          <w:spacing w:val="-1"/>
        </w:rPr>
        <w:t>in</w:t>
      </w:r>
      <w:r w:rsidRPr="008214E9">
        <w:t>at</w:t>
      </w:r>
      <w:r w:rsidRPr="00AD700E">
        <w:rPr>
          <w:spacing w:val="1"/>
        </w:rPr>
        <w:t>i</w:t>
      </w:r>
      <w:r w:rsidRPr="008214E9">
        <w:t>on</w:t>
      </w:r>
      <w:r w:rsidRPr="00AD700E">
        <w:rPr>
          <w:spacing w:val="-1"/>
        </w:rPr>
        <w:t xml:space="preserve"> </w:t>
      </w:r>
      <w:r w:rsidRPr="008214E9">
        <w:t>and</w:t>
      </w:r>
      <w:r w:rsidRPr="00AD700E">
        <w:rPr>
          <w:spacing w:val="-1"/>
        </w:rPr>
        <w:t xml:space="preserve"> w</w:t>
      </w:r>
      <w:r w:rsidRPr="008214E9">
        <w:t>o</w:t>
      </w:r>
      <w:r w:rsidRPr="00AD700E">
        <w:rPr>
          <w:spacing w:val="1"/>
        </w:rPr>
        <w:t>u</w:t>
      </w:r>
      <w:r w:rsidRPr="00AD700E">
        <w:rPr>
          <w:spacing w:val="-2"/>
        </w:rPr>
        <w:t>l</w:t>
      </w:r>
      <w:r w:rsidRPr="008214E9">
        <w:t xml:space="preserve">d </w:t>
      </w:r>
      <w:r w:rsidRPr="00AD700E">
        <w:rPr>
          <w:spacing w:val="-1"/>
        </w:rPr>
        <w:t>n</w:t>
      </w:r>
      <w:r w:rsidRPr="008214E9">
        <w:t>ot, for</w:t>
      </w:r>
      <w:r w:rsidRPr="00AD700E">
        <w:rPr>
          <w:spacing w:val="-2"/>
        </w:rPr>
        <w:t xml:space="preserve"> </w:t>
      </w:r>
      <w:r w:rsidRPr="008214E9">
        <w:t>e</w:t>
      </w:r>
      <w:r w:rsidRPr="00AD700E">
        <w:rPr>
          <w:spacing w:val="-1"/>
        </w:rPr>
        <w:t>x</w:t>
      </w:r>
      <w:r w:rsidRPr="008214E9">
        <w:t>a</w:t>
      </w:r>
      <w:r w:rsidRPr="00AD700E">
        <w:rPr>
          <w:spacing w:val="1"/>
        </w:rPr>
        <w:t>m</w:t>
      </w:r>
      <w:r w:rsidRPr="008214E9">
        <w:t>pl</w:t>
      </w:r>
      <w:r w:rsidRPr="00AD700E">
        <w:rPr>
          <w:spacing w:val="-3"/>
        </w:rPr>
        <w:t>e</w:t>
      </w:r>
      <w:r w:rsidRPr="008214E9">
        <w:t>, e</w:t>
      </w:r>
      <w:r w:rsidRPr="00AD700E">
        <w:rPr>
          <w:spacing w:val="-1"/>
        </w:rPr>
        <w:t>x</w:t>
      </w:r>
      <w:r w:rsidRPr="008214E9">
        <w:t>te</w:t>
      </w:r>
      <w:r w:rsidRPr="00AD700E">
        <w:rPr>
          <w:spacing w:val="-1"/>
        </w:rPr>
        <w:t>n</w:t>
      </w:r>
      <w:r w:rsidRPr="008214E9">
        <w:t>d to ad</w:t>
      </w:r>
      <w:r w:rsidRPr="00AD700E">
        <w:rPr>
          <w:spacing w:val="-3"/>
        </w:rPr>
        <w:t>d</w:t>
      </w:r>
      <w:r w:rsidRPr="00AD700E">
        <w:rPr>
          <w:spacing w:val="1"/>
        </w:rPr>
        <w:t>i</w:t>
      </w:r>
      <w:r w:rsidRPr="008214E9">
        <w:t>t</w:t>
      </w:r>
      <w:r w:rsidRPr="00AD700E">
        <w:rPr>
          <w:spacing w:val="-2"/>
        </w:rPr>
        <w:t>i</w:t>
      </w:r>
      <w:r w:rsidRPr="008214E9">
        <w:t>onal c</w:t>
      </w:r>
      <w:r w:rsidRPr="00AD700E">
        <w:rPr>
          <w:spacing w:val="-1"/>
        </w:rPr>
        <w:t>o</w:t>
      </w:r>
      <w:r w:rsidRPr="00AD700E">
        <w:rPr>
          <w:spacing w:val="1"/>
        </w:rPr>
        <w:t>s</w:t>
      </w:r>
      <w:r w:rsidRPr="008214E9">
        <w:t>ts</w:t>
      </w:r>
      <w:r w:rsidRPr="00AD700E">
        <w:rPr>
          <w:spacing w:val="-2"/>
        </w:rPr>
        <w:t xml:space="preserve"> </w:t>
      </w:r>
      <w:r w:rsidRPr="00AD700E">
        <w:rPr>
          <w:spacing w:val="1"/>
        </w:rPr>
        <w:t>s</w:t>
      </w:r>
      <w:r w:rsidRPr="00AD700E">
        <w:rPr>
          <w:spacing w:val="-2"/>
        </w:rPr>
        <w:t>u</w:t>
      </w:r>
      <w:r w:rsidRPr="00AD700E">
        <w:rPr>
          <w:spacing w:val="1"/>
        </w:rPr>
        <w:t>c</w:t>
      </w:r>
      <w:r w:rsidRPr="008214E9">
        <w:t xml:space="preserve">h </w:t>
      </w:r>
      <w:r w:rsidRPr="00AD700E">
        <w:rPr>
          <w:spacing w:val="-2"/>
        </w:rPr>
        <w:t>a</w:t>
      </w:r>
      <w:r w:rsidRPr="008214E9">
        <w:t>s to c</w:t>
      </w:r>
      <w:r w:rsidRPr="00AD700E">
        <w:rPr>
          <w:spacing w:val="1"/>
        </w:rPr>
        <w:t>o</w:t>
      </w:r>
      <w:r w:rsidRPr="00AD700E">
        <w:rPr>
          <w:spacing w:val="-1"/>
        </w:rPr>
        <w:t>v</w:t>
      </w:r>
      <w:r w:rsidRPr="008214E9">
        <w:t>er l</w:t>
      </w:r>
      <w:r w:rsidRPr="00AD700E">
        <w:rPr>
          <w:spacing w:val="-2"/>
        </w:rPr>
        <w:t>o</w:t>
      </w:r>
      <w:r w:rsidRPr="00AD700E">
        <w:rPr>
          <w:spacing w:val="-1"/>
        </w:rPr>
        <w:t>s</w:t>
      </w:r>
      <w:r w:rsidRPr="008214E9">
        <w:t>s</w:t>
      </w:r>
      <w:r w:rsidRPr="00AD700E">
        <w:rPr>
          <w:spacing w:val="1"/>
        </w:rPr>
        <w:t xml:space="preserve"> </w:t>
      </w:r>
      <w:r w:rsidRPr="008214E9">
        <w:t xml:space="preserve">of </w:t>
      </w:r>
      <w:r w:rsidRPr="00AD700E">
        <w:rPr>
          <w:spacing w:val="-1"/>
        </w:rPr>
        <w:t>p</w:t>
      </w:r>
      <w:r w:rsidRPr="008214E9">
        <w:t>r</w:t>
      </w:r>
      <w:r w:rsidRPr="00AD700E">
        <w:rPr>
          <w:spacing w:val="-2"/>
        </w:rPr>
        <w:t>o</w:t>
      </w:r>
      <w:r w:rsidRPr="008214E9">
        <w:t>f</w:t>
      </w:r>
      <w:r w:rsidRPr="00AD700E">
        <w:rPr>
          <w:spacing w:val="1"/>
        </w:rPr>
        <w:t>i</w:t>
      </w:r>
      <w:r w:rsidRPr="008214E9">
        <w:t>t</w:t>
      </w:r>
      <w:r w:rsidRPr="00AD700E">
        <w:rPr>
          <w:spacing w:val="-1"/>
        </w:rPr>
        <w:t xml:space="preserve"> </w:t>
      </w:r>
      <w:r w:rsidRPr="008214E9">
        <w:t>on</w:t>
      </w:r>
      <w:r w:rsidRPr="00AD700E">
        <w:rPr>
          <w:spacing w:val="-1"/>
        </w:rPr>
        <w:t xml:space="preserve"> </w:t>
      </w:r>
      <w:r w:rsidRPr="00AD700E">
        <w:rPr>
          <w:spacing w:val="-3"/>
        </w:rPr>
        <w:t>t</w:t>
      </w:r>
      <w:r w:rsidRPr="008214E9">
        <w:t>he</w:t>
      </w:r>
      <w:r w:rsidRPr="00AD700E">
        <w:rPr>
          <w:spacing w:val="1"/>
        </w:rPr>
        <w:t xml:space="preserve"> </w:t>
      </w:r>
      <w:r w:rsidRPr="00AD700E">
        <w:rPr>
          <w:spacing w:val="-1"/>
        </w:rPr>
        <w:t>p</w:t>
      </w:r>
      <w:r w:rsidRPr="008214E9">
        <w:t>art</w:t>
      </w:r>
      <w:r w:rsidRPr="00AD700E">
        <w:rPr>
          <w:spacing w:val="-1"/>
        </w:rPr>
        <w:t xml:space="preserve"> </w:t>
      </w:r>
      <w:r w:rsidRPr="008214E9">
        <w:t>of t</w:t>
      </w:r>
      <w:r w:rsidRPr="00AD700E">
        <w:rPr>
          <w:spacing w:val="-2"/>
        </w:rPr>
        <w:t>h</w:t>
      </w:r>
      <w:r w:rsidRPr="008214E9">
        <w:t xml:space="preserve">e </w:t>
      </w:r>
      <w:r w:rsidRPr="00AD700E">
        <w:rPr>
          <w:spacing w:val="-1"/>
        </w:rPr>
        <w:t>p</w:t>
      </w:r>
      <w:r w:rsidRPr="008214E9">
        <w:t>rov</w:t>
      </w:r>
      <w:r w:rsidRPr="00AD700E">
        <w:rPr>
          <w:spacing w:val="1"/>
        </w:rPr>
        <w:t>i</w:t>
      </w:r>
      <w:r w:rsidRPr="00AD700E">
        <w:rPr>
          <w:spacing w:val="-3"/>
        </w:rPr>
        <w:t>d</w:t>
      </w:r>
      <w:r w:rsidRPr="008214E9">
        <w:t>er</w:t>
      </w:r>
    </w:p>
    <w:p w:rsidR="00C71EA8" w:rsidRPr="008214E9" w:rsidRDefault="00C71EA8" w:rsidP="00AD700E">
      <w:pPr>
        <w:pStyle w:val="NumberedPara"/>
        <w:numPr>
          <w:ilvl w:val="1"/>
          <w:numId w:val="52"/>
        </w:numPr>
      </w:pPr>
      <w:r w:rsidRPr="008214E9">
        <w:lastRenderedPageBreak/>
        <w:t xml:space="preserve">termination for default of the service provider: </w:t>
      </w:r>
      <w:r w:rsidRPr="00AD700E">
        <w:rPr>
          <w:spacing w:val="-1"/>
        </w:rPr>
        <w:t xml:space="preserve">the </w:t>
      </w:r>
      <w:r w:rsidR="0027218A">
        <w:t>agency</w:t>
      </w:r>
      <w:r w:rsidRPr="00AD700E">
        <w:rPr>
          <w:spacing w:val="-1"/>
        </w:rPr>
        <w:t xml:space="preserve"> </w:t>
      </w:r>
      <w:r w:rsidRPr="00AD700E">
        <w:rPr>
          <w:spacing w:val="1"/>
        </w:rPr>
        <w:t>s</w:t>
      </w:r>
      <w:r w:rsidRPr="008214E9">
        <w:t>h</w:t>
      </w:r>
      <w:r w:rsidRPr="00AD700E">
        <w:rPr>
          <w:spacing w:val="-1"/>
        </w:rPr>
        <w:t>o</w:t>
      </w:r>
      <w:r w:rsidRPr="008214E9">
        <w:t>uld en</w:t>
      </w:r>
      <w:r w:rsidRPr="00AD700E">
        <w:rPr>
          <w:spacing w:val="-2"/>
        </w:rPr>
        <w:t>s</w:t>
      </w:r>
      <w:r w:rsidRPr="008214E9">
        <w:t>ure</w:t>
      </w:r>
      <w:r w:rsidRPr="00AD700E">
        <w:rPr>
          <w:spacing w:val="-2"/>
        </w:rPr>
        <w:t xml:space="preserve"> </w:t>
      </w:r>
      <w:r w:rsidRPr="008214E9">
        <w:t>that it</w:t>
      </w:r>
      <w:r w:rsidRPr="00AD700E">
        <w:rPr>
          <w:spacing w:val="-1"/>
        </w:rPr>
        <w:t xml:space="preserve"> </w:t>
      </w:r>
      <w:r w:rsidRPr="008214E9">
        <w:t>h</w:t>
      </w:r>
      <w:r w:rsidRPr="00AD700E">
        <w:rPr>
          <w:spacing w:val="-2"/>
        </w:rPr>
        <w:t>a</w:t>
      </w:r>
      <w:r w:rsidRPr="008214E9">
        <w:t>s</w:t>
      </w:r>
      <w:r w:rsidRPr="00AD700E">
        <w:rPr>
          <w:spacing w:val="1"/>
        </w:rPr>
        <w:t xml:space="preserve"> </w:t>
      </w:r>
      <w:r w:rsidRPr="00AD700E">
        <w:rPr>
          <w:spacing w:val="-1"/>
        </w:rPr>
        <w:t>t</w:t>
      </w:r>
      <w:r w:rsidRPr="00AD700E">
        <w:rPr>
          <w:spacing w:val="-2"/>
        </w:rPr>
        <w:t>h</w:t>
      </w:r>
      <w:r w:rsidRPr="008214E9">
        <w:t>e right</w:t>
      </w:r>
      <w:r w:rsidRPr="00AD700E">
        <w:rPr>
          <w:spacing w:val="-1"/>
        </w:rPr>
        <w:t xml:space="preserve"> </w:t>
      </w:r>
      <w:r w:rsidRPr="008214E9">
        <w:t xml:space="preserve">to </w:t>
      </w:r>
      <w:r w:rsidRPr="00AD700E">
        <w:rPr>
          <w:spacing w:val="-1"/>
        </w:rPr>
        <w:t>t</w:t>
      </w:r>
      <w:r w:rsidRPr="008214E9">
        <w:t>e</w:t>
      </w:r>
      <w:r w:rsidRPr="00AD700E">
        <w:rPr>
          <w:spacing w:val="-2"/>
        </w:rPr>
        <w:t>r</w:t>
      </w:r>
      <w:r w:rsidRPr="00AD700E">
        <w:rPr>
          <w:spacing w:val="1"/>
        </w:rPr>
        <w:t>mi</w:t>
      </w:r>
      <w:r w:rsidRPr="00AD700E">
        <w:rPr>
          <w:spacing w:val="-1"/>
        </w:rPr>
        <w:t>n</w:t>
      </w:r>
      <w:r w:rsidRPr="008214E9">
        <w:t>a</w:t>
      </w:r>
      <w:r w:rsidRPr="00AD700E">
        <w:rPr>
          <w:spacing w:val="-3"/>
        </w:rPr>
        <w:t>t</w:t>
      </w:r>
      <w:r w:rsidRPr="008214E9">
        <w:t>e for</w:t>
      </w:r>
      <w:r w:rsidRPr="00AD700E">
        <w:rPr>
          <w:spacing w:val="2"/>
        </w:rPr>
        <w:t xml:space="preserve"> </w:t>
      </w:r>
      <w:r w:rsidRPr="008214E9">
        <w:t>d</w:t>
      </w:r>
      <w:r w:rsidRPr="00AD700E">
        <w:rPr>
          <w:spacing w:val="-2"/>
        </w:rPr>
        <w:t>e</w:t>
      </w:r>
      <w:r w:rsidRPr="008214E9">
        <w:t>fa</w:t>
      </w:r>
      <w:r w:rsidRPr="00AD700E">
        <w:rPr>
          <w:spacing w:val="1"/>
        </w:rPr>
        <w:t>u</w:t>
      </w:r>
      <w:r w:rsidRPr="008214E9">
        <w:t xml:space="preserve">lt </w:t>
      </w:r>
      <w:r w:rsidRPr="00AD700E">
        <w:rPr>
          <w:spacing w:val="-4"/>
        </w:rPr>
        <w:t>w</w:t>
      </w:r>
      <w:r w:rsidRPr="008214E9">
        <w:t>h</w:t>
      </w:r>
      <w:r w:rsidRPr="00AD700E">
        <w:rPr>
          <w:spacing w:val="1"/>
        </w:rPr>
        <w:t>e</w:t>
      </w:r>
      <w:r w:rsidRPr="008214E9">
        <w:t xml:space="preserve">re </w:t>
      </w:r>
      <w:r w:rsidRPr="00AD700E">
        <w:rPr>
          <w:spacing w:val="-3"/>
        </w:rPr>
        <w:t>t</w:t>
      </w:r>
      <w:r w:rsidRPr="008214E9">
        <w:t>he</w:t>
      </w:r>
      <w:r w:rsidRPr="00AD700E">
        <w:rPr>
          <w:spacing w:val="1"/>
        </w:rPr>
        <w:t xml:space="preserve"> </w:t>
      </w:r>
      <w:r w:rsidRPr="00AD700E">
        <w:rPr>
          <w:spacing w:val="-1"/>
        </w:rPr>
        <w:t>p</w:t>
      </w:r>
      <w:r w:rsidRPr="008214E9">
        <w:t>rov</w:t>
      </w:r>
      <w:r w:rsidRPr="00AD700E">
        <w:rPr>
          <w:spacing w:val="1"/>
        </w:rPr>
        <w:t>i</w:t>
      </w:r>
      <w:r w:rsidRPr="00AD700E">
        <w:rPr>
          <w:spacing w:val="-3"/>
        </w:rPr>
        <w:t>d</w:t>
      </w:r>
      <w:r w:rsidRPr="008214E9">
        <w:t xml:space="preserve">er </w:t>
      </w:r>
      <w:r w:rsidRPr="00AD700E">
        <w:rPr>
          <w:spacing w:val="-1"/>
        </w:rPr>
        <w:t>d</w:t>
      </w:r>
      <w:r w:rsidRPr="008214E9">
        <w:t>o</w:t>
      </w:r>
      <w:r w:rsidRPr="00AD700E">
        <w:rPr>
          <w:spacing w:val="-2"/>
        </w:rPr>
        <w:t>e</w:t>
      </w:r>
      <w:r w:rsidRPr="008214E9">
        <w:t xml:space="preserve">s </w:t>
      </w:r>
      <w:r w:rsidRPr="00AD700E">
        <w:rPr>
          <w:spacing w:val="-1"/>
        </w:rPr>
        <w:t>n</w:t>
      </w:r>
      <w:r w:rsidRPr="008214E9">
        <w:t>ot m</w:t>
      </w:r>
      <w:r w:rsidRPr="00AD700E">
        <w:rPr>
          <w:spacing w:val="1"/>
        </w:rPr>
        <w:t>e</w:t>
      </w:r>
      <w:r w:rsidRPr="008214E9">
        <w:t xml:space="preserve">et </w:t>
      </w:r>
      <w:r w:rsidRPr="00AD700E">
        <w:rPr>
          <w:spacing w:val="-1"/>
        </w:rPr>
        <w:t>t</w:t>
      </w:r>
      <w:r w:rsidRPr="00AD700E">
        <w:rPr>
          <w:spacing w:val="-2"/>
        </w:rPr>
        <w:t>h</w:t>
      </w:r>
      <w:r w:rsidRPr="008214E9">
        <w:t xml:space="preserve">e </w:t>
      </w:r>
      <w:r w:rsidR="0027218A">
        <w:t>agency</w:t>
      </w:r>
      <w:r w:rsidRPr="00AD700E">
        <w:rPr>
          <w:spacing w:val="-1"/>
        </w:rPr>
        <w:t>’</w:t>
      </w:r>
      <w:r w:rsidRPr="008214E9">
        <w:t>s</w:t>
      </w:r>
      <w:r w:rsidRPr="00AD700E">
        <w:rPr>
          <w:spacing w:val="1"/>
        </w:rPr>
        <w:t xml:space="preserve"> </w:t>
      </w:r>
      <w:r w:rsidRPr="00AD700E">
        <w:rPr>
          <w:spacing w:val="-1"/>
        </w:rPr>
        <w:t>r</w:t>
      </w:r>
      <w:r w:rsidRPr="00AD700E">
        <w:rPr>
          <w:spacing w:val="-2"/>
        </w:rPr>
        <w:t>ea</w:t>
      </w:r>
      <w:r w:rsidRPr="00AD700E">
        <w:rPr>
          <w:spacing w:val="1"/>
        </w:rPr>
        <w:t>s</w:t>
      </w:r>
      <w:r w:rsidRPr="008214E9">
        <w:t>ona</w:t>
      </w:r>
      <w:r w:rsidRPr="00AD700E">
        <w:rPr>
          <w:spacing w:val="-1"/>
        </w:rPr>
        <w:t>b</w:t>
      </w:r>
      <w:r w:rsidRPr="008214E9">
        <w:t>le re</w:t>
      </w:r>
      <w:r w:rsidRPr="00AD700E">
        <w:rPr>
          <w:spacing w:val="-3"/>
        </w:rPr>
        <w:t>q</w:t>
      </w:r>
      <w:r w:rsidRPr="008214E9">
        <w:t>u</w:t>
      </w:r>
      <w:r w:rsidRPr="00AD700E">
        <w:rPr>
          <w:spacing w:val="1"/>
        </w:rPr>
        <w:t>i</w:t>
      </w:r>
      <w:r w:rsidRPr="00AD700E">
        <w:rPr>
          <w:spacing w:val="-3"/>
        </w:rPr>
        <w:t>r</w:t>
      </w:r>
      <w:r w:rsidRPr="008214E9">
        <w:t>e</w:t>
      </w:r>
      <w:r w:rsidRPr="00AD700E">
        <w:rPr>
          <w:spacing w:val="-1"/>
        </w:rPr>
        <w:t>m</w:t>
      </w:r>
      <w:r w:rsidRPr="008214E9">
        <w:t>en</w:t>
      </w:r>
      <w:r w:rsidRPr="00AD700E">
        <w:rPr>
          <w:spacing w:val="-1"/>
        </w:rPr>
        <w:t>t</w:t>
      </w:r>
      <w:r w:rsidRPr="008214E9">
        <w:t>s</w:t>
      </w:r>
      <w:r w:rsidRPr="00AD700E">
        <w:rPr>
          <w:spacing w:val="1"/>
        </w:rPr>
        <w:t xml:space="preserve"> </w:t>
      </w:r>
      <w:r w:rsidRPr="00AD700E">
        <w:rPr>
          <w:spacing w:val="-3"/>
        </w:rPr>
        <w:t>a</w:t>
      </w:r>
      <w:r w:rsidRPr="008214E9">
        <w:t>s</w:t>
      </w:r>
      <w:r w:rsidRPr="00AD700E">
        <w:rPr>
          <w:spacing w:val="1"/>
        </w:rPr>
        <w:t xml:space="preserve"> </w:t>
      </w:r>
      <w:r w:rsidRPr="00AD700E">
        <w:rPr>
          <w:spacing w:val="-2"/>
        </w:rPr>
        <w:t>s</w:t>
      </w:r>
      <w:r w:rsidRPr="008214E9">
        <w:t>et out in</w:t>
      </w:r>
      <w:r w:rsidRPr="00AD700E">
        <w:rPr>
          <w:spacing w:val="-1"/>
        </w:rPr>
        <w:t xml:space="preserve"> </w:t>
      </w:r>
      <w:r w:rsidRPr="008214E9">
        <w:t>the a</w:t>
      </w:r>
      <w:r w:rsidRPr="00AD700E">
        <w:rPr>
          <w:spacing w:val="-1"/>
        </w:rPr>
        <w:t>g</w:t>
      </w:r>
      <w:r w:rsidRPr="00AD700E">
        <w:rPr>
          <w:spacing w:val="-3"/>
        </w:rPr>
        <w:t>r</w:t>
      </w:r>
      <w:r w:rsidRPr="008214E9">
        <w:t>e</w:t>
      </w:r>
      <w:r w:rsidRPr="00AD700E">
        <w:rPr>
          <w:spacing w:val="-2"/>
        </w:rPr>
        <w:t>e</w:t>
      </w:r>
      <w:r w:rsidRPr="00AD700E">
        <w:rPr>
          <w:spacing w:val="1"/>
        </w:rPr>
        <w:t>m</w:t>
      </w:r>
      <w:r w:rsidRPr="008214E9">
        <w:t>en</w:t>
      </w:r>
      <w:r w:rsidRPr="00AD700E">
        <w:rPr>
          <w:spacing w:val="-1"/>
        </w:rPr>
        <w:t>t</w:t>
      </w:r>
    </w:p>
    <w:p w:rsidR="00C71EA8" w:rsidRPr="008214E9" w:rsidRDefault="00C71EA8" w:rsidP="00AD700E">
      <w:pPr>
        <w:pStyle w:val="NumberedPara"/>
        <w:numPr>
          <w:ilvl w:val="1"/>
          <w:numId w:val="52"/>
        </w:numPr>
      </w:pPr>
      <w:r w:rsidRPr="008214E9">
        <w:t xml:space="preserve">termination for likely or actual insolvency of the service provider: the </w:t>
      </w:r>
      <w:r w:rsidR="0027218A">
        <w:t>agency</w:t>
      </w:r>
      <w:r w:rsidRPr="008214E9">
        <w:t xml:space="preserve"> should consider conditions of a quick disengagement if the service provider is facing bankruptcy</w:t>
      </w:r>
    </w:p>
    <w:p w:rsidR="00C71EA8" w:rsidRPr="008214E9" w:rsidRDefault="00C71EA8" w:rsidP="00AD700E">
      <w:pPr>
        <w:pStyle w:val="NumberedPara"/>
        <w:numPr>
          <w:ilvl w:val="1"/>
          <w:numId w:val="52"/>
        </w:numPr>
      </w:pPr>
      <w:proofErr w:type="gramStart"/>
      <w:r w:rsidRPr="008214E9">
        <w:t>circumstances</w:t>
      </w:r>
      <w:proofErr w:type="gramEnd"/>
      <w:r w:rsidRPr="008214E9">
        <w:t xml:space="preserve"> in which the service provider has a right to terminate: the </w:t>
      </w:r>
      <w:r w:rsidR="0027218A">
        <w:t>agency</w:t>
      </w:r>
      <w:r w:rsidRPr="00AD700E">
        <w:rPr>
          <w:spacing w:val="-1"/>
        </w:rPr>
        <w:t xml:space="preserve"> s</w:t>
      </w:r>
      <w:r w:rsidRPr="008214E9">
        <w:t>h</w:t>
      </w:r>
      <w:r w:rsidRPr="00AD700E">
        <w:rPr>
          <w:spacing w:val="-1"/>
        </w:rPr>
        <w:t>o</w:t>
      </w:r>
      <w:r w:rsidRPr="008214E9">
        <w:t xml:space="preserve">uld </w:t>
      </w:r>
      <w:r w:rsidRPr="00AD700E">
        <w:rPr>
          <w:spacing w:val="-1"/>
        </w:rPr>
        <w:t>c</w:t>
      </w:r>
      <w:r w:rsidRPr="00AD700E">
        <w:rPr>
          <w:spacing w:val="-2"/>
        </w:rPr>
        <w:t>o</w:t>
      </w:r>
      <w:r w:rsidRPr="00AD700E">
        <w:rPr>
          <w:spacing w:val="-1"/>
        </w:rPr>
        <w:t>n</w:t>
      </w:r>
      <w:r w:rsidRPr="00AD700E">
        <w:rPr>
          <w:spacing w:val="1"/>
        </w:rPr>
        <w:t>si</w:t>
      </w:r>
      <w:r w:rsidRPr="008214E9">
        <w:t>der</w:t>
      </w:r>
      <w:r w:rsidRPr="00AD700E">
        <w:rPr>
          <w:spacing w:val="-3"/>
        </w:rPr>
        <w:t xml:space="preserve"> </w:t>
      </w:r>
      <w:r w:rsidRPr="00AD700E">
        <w:rPr>
          <w:spacing w:val="1"/>
        </w:rPr>
        <w:t>i</w:t>
      </w:r>
      <w:r w:rsidRPr="00AD700E">
        <w:rPr>
          <w:spacing w:val="-1"/>
        </w:rPr>
        <w:t>n</w:t>
      </w:r>
      <w:r w:rsidRPr="00AD700E">
        <w:rPr>
          <w:spacing w:val="1"/>
        </w:rPr>
        <w:t>c</w:t>
      </w:r>
      <w:r w:rsidRPr="00AD700E">
        <w:rPr>
          <w:spacing w:val="-2"/>
        </w:rPr>
        <w:t>l</w:t>
      </w:r>
      <w:r w:rsidRPr="008214E9">
        <w:t>ud</w:t>
      </w:r>
      <w:r w:rsidRPr="00AD700E">
        <w:rPr>
          <w:spacing w:val="1"/>
        </w:rPr>
        <w:t>i</w:t>
      </w:r>
      <w:r w:rsidRPr="00AD700E">
        <w:rPr>
          <w:spacing w:val="-1"/>
        </w:rPr>
        <w:t>n</w:t>
      </w:r>
      <w:r w:rsidRPr="008214E9">
        <w:t>g</w:t>
      </w:r>
      <w:r w:rsidRPr="00AD700E">
        <w:rPr>
          <w:spacing w:val="-1"/>
        </w:rPr>
        <w:t xml:space="preserve"> </w:t>
      </w:r>
      <w:r w:rsidRPr="008214E9">
        <w:t xml:space="preserve">a </w:t>
      </w:r>
      <w:r w:rsidRPr="00AD700E">
        <w:rPr>
          <w:spacing w:val="1"/>
        </w:rPr>
        <w:t>s</w:t>
      </w:r>
      <w:r w:rsidRPr="008214E9">
        <w:t>u</w:t>
      </w:r>
      <w:r w:rsidRPr="00AD700E">
        <w:rPr>
          <w:spacing w:val="1"/>
        </w:rPr>
        <w:t>f</w:t>
      </w:r>
      <w:r w:rsidRPr="00AD700E">
        <w:rPr>
          <w:spacing w:val="-2"/>
        </w:rPr>
        <w:t>f</w:t>
      </w:r>
      <w:r w:rsidRPr="00AD700E">
        <w:rPr>
          <w:spacing w:val="-1"/>
        </w:rPr>
        <w:t>i</w:t>
      </w:r>
      <w:r w:rsidRPr="00AD700E">
        <w:rPr>
          <w:spacing w:val="1"/>
        </w:rPr>
        <w:t>ci</w:t>
      </w:r>
      <w:r w:rsidRPr="008214E9">
        <w:t>en</w:t>
      </w:r>
      <w:r w:rsidRPr="00AD700E">
        <w:rPr>
          <w:spacing w:val="-1"/>
        </w:rPr>
        <w:t>t</w:t>
      </w:r>
      <w:r w:rsidRPr="008214E9">
        <w:t>ly</w:t>
      </w:r>
      <w:r w:rsidRPr="00AD700E">
        <w:rPr>
          <w:spacing w:val="-1"/>
        </w:rPr>
        <w:t xml:space="preserve"> </w:t>
      </w:r>
      <w:r w:rsidRPr="008214E9">
        <w:t>lo</w:t>
      </w:r>
      <w:r w:rsidRPr="00AD700E">
        <w:rPr>
          <w:spacing w:val="-1"/>
        </w:rPr>
        <w:t>n</w:t>
      </w:r>
      <w:r w:rsidRPr="008214E9">
        <w:t>g</w:t>
      </w:r>
      <w:r w:rsidRPr="00AD700E">
        <w:rPr>
          <w:spacing w:val="-1"/>
        </w:rPr>
        <w:t xml:space="preserve"> n</w:t>
      </w:r>
      <w:r w:rsidRPr="008214E9">
        <w:t>ot</w:t>
      </w:r>
      <w:r w:rsidRPr="00AD700E">
        <w:rPr>
          <w:spacing w:val="-1"/>
        </w:rPr>
        <w:t>i</w:t>
      </w:r>
      <w:r w:rsidRPr="00AD700E">
        <w:rPr>
          <w:spacing w:val="1"/>
        </w:rPr>
        <w:t>c</w:t>
      </w:r>
      <w:r w:rsidRPr="008214E9">
        <w:t xml:space="preserve">e </w:t>
      </w:r>
      <w:r w:rsidRPr="00AD700E">
        <w:rPr>
          <w:spacing w:val="-1"/>
        </w:rPr>
        <w:t>p</w:t>
      </w:r>
      <w:r w:rsidRPr="00AD700E">
        <w:rPr>
          <w:spacing w:val="-2"/>
        </w:rPr>
        <w:t>e</w:t>
      </w:r>
      <w:r w:rsidRPr="008214E9">
        <w:t>r</w:t>
      </w:r>
      <w:r w:rsidRPr="00AD700E">
        <w:rPr>
          <w:spacing w:val="1"/>
        </w:rPr>
        <w:t>i</w:t>
      </w:r>
      <w:r w:rsidRPr="008214E9">
        <w:t xml:space="preserve">od </w:t>
      </w:r>
      <w:r w:rsidRPr="00AD700E">
        <w:rPr>
          <w:spacing w:val="-1"/>
        </w:rPr>
        <w:t>b</w:t>
      </w:r>
      <w:r w:rsidRPr="008214E9">
        <w:t>e</w:t>
      </w:r>
      <w:r w:rsidRPr="00AD700E">
        <w:rPr>
          <w:spacing w:val="-2"/>
        </w:rPr>
        <w:t>f</w:t>
      </w:r>
      <w:r w:rsidRPr="008214E9">
        <w:t xml:space="preserve">ore the </w:t>
      </w:r>
      <w:r w:rsidRPr="00AD700E">
        <w:rPr>
          <w:spacing w:val="-3"/>
        </w:rPr>
        <w:t>t</w:t>
      </w:r>
      <w:r w:rsidRPr="008214E9">
        <w:t>er</w:t>
      </w:r>
      <w:r w:rsidRPr="00AD700E">
        <w:rPr>
          <w:spacing w:val="-1"/>
        </w:rPr>
        <w:t>m</w:t>
      </w:r>
      <w:r w:rsidRPr="00AD700E">
        <w:rPr>
          <w:spacing w:val="1"/>
        </w:rPr>
        <w:t>i</w:t>
      </w:r>
      <w:r w:rsidRPr="00AD700E">
        <w:rPr>
          <w:spacing w:val="-1"/>
        </w:rPr>
        <w:t>n</w:t>
      </w:r>
      <w:r w:rsidRPr="008214E9">
        <w:t>at</w:t>
      </w:r>
      <w:r w:rsidRPr="00AD700E">
        <w:rPr>
          <w:spacing w:val="-1"/>
        </w:rPr>
        <w:t>i</w:t>
      </w:r>
      <w:r w:rsidRPr="00AD700E">
        <w:rPr>
          <w:spacing w:val="-2"/>
        </w:rPr>
        <w:t>o</w:t>
      </w:r>
      <w:r w:rsidRPr="008214E9">
        <w:t>n</w:t>
      </w:r>
      <w:r w:rsidRPr="00AD700E">
        <w:rPr>
          <w:spacing w:val="-1"/>
        </w:rPr>
        <w:t xml:space="preserve"> b</w:t>
      </w:r>
      <w:r w:rsidRPr="008214E9">
        <w:t>e</w:t>
      </w:r>
      <w:r w:rsidRPr="00AD700E">
        <w:rPr>
          <w:spacing w:val="1"/>
        </w:rPr>
        <w:t>c</w:t>
      </w:r>
      <w:r w:rsidRPr="008214E9">
        <w:t>o</w:t>
      </w:r>
      <w:r w:rsidRPr="00AD700E">
        <w:rPr>
          <w:spacing w:val="-1"/>
        </w:rPr>
        <w:t>m</w:t>
      </w:r>
      <w:r w:rsidRPr="008214E9">
        <w:t>es</w:t>
      </w:r>
      <w:r w:rsidRPr="00AD700E">
        <w:rPr>
          <w:spacing w:val="1"/>
        </w:rPr>
        <w:t xml:space="preserve"> </w:t>
      </w:r>
      <w:r w:rsidRPr="00AD700E">
        <w:rPr>
          <w:spacing w:val="-3"/>
        </w:rPr>
        <w:t>e</w:t>
      </w:r>
      <w:r w:rsidRPr="008214E9">
        <w:t>ff</w:t>
      </w:r>
      <w:r w:rsidRPr="00AD700E">
        <w:rPr>
          <w:spacing w:val="-1"/>
        </w:rPr>
        <w:t>e</w:t>
      </w:r>
      <w:r w:rsidRPr="00AD700E">
        <w:rPr>
          <w:spacing w:val="1"/>
        </w:rPr>
        <w:t>c</w:t>
      </w:r>
      <w:r w:rsidRPr="008214E9">
        <w:t>t</w:t>
      </w:r>
      <w:r w:rsidRPr="00AD700E">
        <w:rPr>
          <w:spacing w:val="1"/>
        </w:rPr>
        <w:t>i</w:t>
      </w:r>
      <w:r w:rsidRPr="00AD700E">
        <w:rPr>
          <w:spacing w:val="-1"/>
        </w:rPr>
        <w:t>v</w:t>
      </w:r>
      <w:r w:rsidRPr="008214E9">
        <w:t>e to</w:t>
      </w:r>
      <w:r w:rsidRPr="00AD700E">
        <w:rPr>
          <w:spacing w:val="-3"/>
        </w:rPr>
        <w:t xml:space="preserve"> </w:t>
      </w:r>
      <w:r w:rsidRPr="008214E9">
        <w:t>ena</w:t>
      </w:r>
      <w:r w:rsidRPr="00AD700E">
        <w:rPr>
          <w:spacing w:val="-1"/>
        </w:rPr>
        <w:t>b</w:t>
      </w:r>
      <w:r w:rsidRPr="008214E9">
        <w:t xml:space="preserve">le the </w:t>
      </w:r>
      <w:r w:rsidR="0027218A">
        <w:t>agency</w:t>
      </w:r>
      <w:r w:rsidRPr="00AD700E">
        <w:rPr>
          <w:spacing w:val="-1"/>
        </w:rPr>
        <w:t xml:space="preserve"> </w:t>
      </w:r>
      <w:r w:rsidRPr="008214E9">
        <w:t>to f</w:t>
      </w:r>
      <w:r w:rsidRPr="00AD700E">
        <w:rPr>
          <w:spacing w:val="1"/>
        </w:rPr>
        <w:t>i</w:t>
      </w:r>
      <w:r w:rsidRPr="00AD700E">
        <w:rPr>
          <w:spacing w:val="-1"/>
        </w:rPr>
        <w:t>n</w:t>
      </w:r>
      <w:r w:rsidRPr="008214E9">
        <w:t xml:space="preserve">d a </w:t>
      </w:r>
      <w:r w:rsidRPr="00AD700E">
        <w:rPr>
          <w:spacing w:val="-2"/>
        </w:rPr>
        <w:t>s</w:t>
      </w:r>
      <w:r w:rsidRPr="008214E9">
        <w:t>u</w:t>
      </w:r>
      <w:r w:rsidRPr="00AD700E">
        <w:rPr>
          <w:spacing w:val="1"/>
        </w:rPr>
        <w:t>i</w:t>
      </w:r>
      <w:r w:rsidRPr="008214E9">
        <w:t>ta</w:t>
      </w:r>
      <w:r w:rsidRPr="00AD700E">
        <w:rPr>
          <w:spacing w:val="-1"/>
        </w:rPr>
        <w:t>b</w:t>
      </w:r>
      <w:r w:rsidRPr="00AD700E">
        <w:rPr>
          <w:spacing w:val="-2"/>
        </w:rPr>
        <w:t>l</w:t>
      </w:r>
      <w:r w:rsidRPr="008214E9">
        <w:t>e alter</w:t>
      </w:r>
      <w:r w:rsidRPr="00AD700E">
        <w:rPr>
          <w:spacing w:val="-1"/>
        </w:rPr>
        <w:t>n</w:t>
      </w:r>
      <w:r w:rsidRPr="008214E9">
        <w:t>a</w:t>
      </w:r>
      <w:r w:rsidRPr="00AD700E">
        <w:rPr>
          <w:spacing w:val="-3"/>
        </w:rPr>
        <w:t>t</w:t>
      </w:r>
      <w:r w:rsidRPr="00AD700E">
        <w:rPr>
          <w:spacing w:val="1"/>
        </w:rPr>
        <w:t>i</w:t>
      </w:r>
      <w:r w:rsidRPr="00AD700E">
        <w:rPr>
          <w:spacing w:val="-1"/>
        </w:rPr>
        <w:t>v</w:t>
      </w:r>
      <w:r w:rsidRPr="008214E9">
        <w:t>e</w:t>
      </w:r>
      <w:r w:rsidRPr="00AD700E">
        <w:rPr>
          <w:spacing w:val="-2"/>
        </w:rPr>
        <w:t xml:space="preserve"> </w:t>
      </w:r>
      <w:r w:rsidRPr="008214E9">
        <w:t>pro</w:t>
      </w:r>
      <w:r w:rsidRPr="00AD700E">
        <w:rPr>
          <w:spacing w:val="-1"/>
        </w:rPr>
        <w:t>v</w:t>
      </w:r>
      <w:r w:rsidRPr="00AD700E">
        <w:rPr>
          <w:spacing w:val="1"/>
        </w:rPr>
        <w:t>i</w:t>
      </w:r>
      <w:r w:rsidRPr="008214E9">
        <w:t>der.</w:t>
      </w:r>
    </w:p>
    <w:p w:rsidR="00B70CA7" w:rsidRDefault="00C71EA8" w:rsidP="0027218A">
      <w:pPr>
        <w:pStyle w:val="Heading4"/>
      </w:pPr>
      <w:r>
        <w:t xml:space="preserve">Agencies must ensure that, on termination or transition-out of an external cloud services arrangement, all </w:t>
      </w:r>
      <w:r w:rsidR="0027218A">
        <w:t>agency</w:t>
      </w:r>
      <w:r>
        <w:t xml:space="preserve"> data will be readily and reliably recoverable.</w:t>
      </w:r>
    </w:p>
    <w:p w:rsidR="00C71EA8" w:rsidRDefault="00C71EA8" w:rsidP="00AD700E">
      <w:pPr>
        <w:pStyle w:val="NumberedPara"/>
        <w:numPr>
          <w:ilvl w:val="0"/>
          <w:numId w:val="53"/>
        </w:numPr>
      </w:pPr>
      <w:r>
        <w:t>The recovery and transmission of data in the event of a change in arrangements with the external cloud services provider must be accommodated in contractual arrangements.</w:t>
      </w:r>
      <w:r w:rsidR="00B70CA7">
        <w:t xml:space="preserve"> </w:t>
      </w:r>
      <w:r>
        <w:t>It is possible to not be able to retrieve data under circumstances where arrangements end abruptly and involve third parties.</w:t>
      </w:r>
    </w:p>
    <w:p w:rsidR="00C71EA8" w:rsidRDefault="00C71EA8" w:rsidP="0027218A">
      <w:pPr>
        <w:pStyle w:val="Heading2"/>
      </w:pPr>
      <w:bookmarkStart w:id="180" w:name="_Toc489364414"/>
      <w:r>
        <w:t>Change of control</w:t>
      </w:r>
      <w:bookmarkEnd w:id="180"/>
    </w:p>
    <w:p w:rsidR="00C71EA8" w:rsidRDefault="00C71EA8" w:rsidP="0027218A">
      <w:pPr>
        <w:pStyle w:val="Heading4"/>
      </w:pPr>
      <w:r>
        <w:t>Agencies must ensure all rights survive substantive changes in circumstances</w:t>
      </w:r>
    </w:p>
    <w:p w:rsidR="00C71EA8" w:rsidRDefault="00C71EA8" w:rsidP="00AD700E">
      <w:pPr>
        <w:pStyle w:val="NumberedPara"/>
        <w:numPr>
          <w:ilvl w:val="0"/>
          <w:numId w:val="54"/>
        </w:numPr>
      </w:pPr>
      <w:r>
        <w:t>The contractual arrangements with an external cloud services provider must include certainty as to the respective rights and obligations of the parties in the event that:</w:t>
      </w:r>
    </w:p>
    <w:p w:rsidR="00C71EA8" w:rsidRDefault="00C71EA8" w:rsidP="00AD700E">
      <w:pPr>
        <w:pStyle w:val="NumberedPara"/>
        <w:numPr>
          <w:ilvl w:val="1"/>
          <w:numId w:val="54"/>
        </w:numPr>
      </w:pPr>
      <w:r>
        <w:t>a change in control or ownership of the external cloud services provider occurs</w:t>
      </w:r>
    </w:p>
    <w:p w:rsidR="00C71EA8" w:rsidRDefault="00C71EA8" w:rsidP="00AD700E">
      <w:pPr>
        <w:pStyle w:val="NumberedPara"/>
        <w:numPr>
          <w:ilvl w:val="1"/>
          <w:numId w:val="54"/>
        </w:numPr>
      </w:pPr>
      <w:proofErr w:type="gramStart"/>
      <w:r>
        <w:t>administrative</w:t>
      </w:r>
      <w:proofErr w:type="gramEnd"/>
      <w:r>
        <w:t xml:space="preserve"> arrangements change within the NTG that changes the </w:t>
      </w:r>
      <w:r w:rsidR="0027218A">
        <w:t>agency</w:t>
      </w:r>
      <w:r>
        <w:t>.</w:t>
      </w:r>
    </w:p>
    <w:p w:rsidR="00C71EA8" w:rsidRDefault="00C71EA8" w:rsidP="00AD700E">
      <w:pPr>
        <w:pStyle w:val="NumberedPara"/>
        <w:numPr>
          <w:ilvl w:val="0"/>
          <w:numId w:val="54"/>
        </w:numPr>
      </w:pPr>
      <w:r>
        <w:t>In line with standard contract provisions, the rights and obligations of the parties need to survive the above changes but allow the NTG the opportunity to reconsider its requirements and continuation of the contract if the change in the external cloud services provider introduces new or greater risks or is incompatible with the NTG position or direction.</w:t>
      </w:r>
    </w:p>
    <w:p w:rsidR="00C71EA8" w:rsidRDefault="00C71EA8" w:rsidP="00AD700E">
      <w:pPr>
        <w:pStyle w:val="NumberedPara"/>
        <w:numPr>
          <w:ilvl w:val="0"/>
          <w:numId w:val="54"/>
        </w:numPr>
      </w:pPr>
      <w:r>
        <w:t xml:space="preserve">A change in control or ownership of an external cloud services provider should trigger a further due diligence evaluation by the </w:t>
      </w:r>
      <w:r w:rsidR="0027218A">
        <w:t>agency</w:t>
      </w:r>
      <w:r>
        <w:t xml:space="preserve">, including an updated risk assessment and NTG ICT Security assessment in accordance with this </w:t>
      </w:r>
      <w:r w:rsidR="00E34BFA">
        <w:t>standard</w:t>
      </w:r>
      <w:r>
        <w:t>.</w:t>
      </w:r>
    </w:p>
    <w:p w:rsidR="00427136" w:rsidRDefault="00427136" w:rsidP="0027218A">
      <w:pPr>
        <w:pStyle w:val="Heading2"/>
      </w:pPr>
      <w:bookmarkStart w:id="181" w:name="_Toc489364415"/>
      <w:r>
        <w:t>Periodic review</w:t>
      </w:r>
      <w:bookmarkEnd w:id="181"/>
    </w:p>
    <w:p w:rsidR="00B70CA7" w:rsidRDefault="00427136" w:rsidP="0027218A">
      <w:pPr>
        <w:pStyle w:val="Heading4"/>
      </w:pPr>
      <w:r>
        <w:t>Agencies must periodically review arrangements with external cloud services providers to ensure that the contract reflects the service being provided.</w:t>
      </w:r>
    </w:p>
    <w:p w:rsidR="00182B7A" w:rsidRPr="00182B7A" w:rsidRDefault="00182B7A" w:rsidP="00182B7A">
      <w:pPr>
        <w:pStyle w:val="BlockText"/>
      </w:pPr>
    </w:p>
    <w:p w:rsidR="00B70CA7" w:rsidRDefault="00427136" w:rsidP="0027218A">
      <w:pPr>
        <w:pStyle w:val="Heading4"/>
      </w:pPr>
      <w:r>
        <w:t xml:space="preserve">At a minimum, </w:t>
      </w:r>
      <w:r w:rsidR="0027218A">
        <w:t>agenc</w:t>
      </w:r>
      <w:r>
        <w:t>ies must undertake a detailed risk assessment prior to renewal or extension of arrangement</w:t>
      </w:r>
      <w:r w:rsidR="00F66A29">
        <w:t>s</w:t>
      </w:r>
      <w:r>
        <w:t xml:space="preserve"> with </w:t>
      </w:r>
      <w:r w:rsidR="00F66A29">
        <w:t>an</w:t>
      </w:r>
      <w:r>
        <w:t xml:space="preserve"> external cloud service</w:t>
      </w:r>
      <w:r w:rsidR="00F66A29">
        <w:t>s</w:t>
      </w:r>
      <w:r>
        <w:t xml:space="preserve"> provider.</w:t>
      </w:r>
    </w:p>
    <w:p w:rsidR="00AD700E" w:rsidRPr="00AD700E" w:rsidRDefault="00AD700E" w:rsidP="00AD700E">
      <w:r w:rsidRPr="00AD700E">
        <w:br w:type="page"/>
      </w:r>
    </w:p>
    <w:p w:rsidR="007263A4" w:rsidRPr="00822EBC" w:rsidRDefault="007263A4" w:rsidP="007B4F74">
      <w:pPr>
        <w:pStyle w:val="Heading1"/>
        <w:keepNext w:val="0"/>
        <w:widowControl w:val="0"/>
      </w:pPr>
      <w:bookmarkStart w:id="182" w:name="_Toc489364416"/>
      <w:r>
        <w:lastRenderedPageBreak/>
        <w:t>Other requirements</w:t>
      </w:r>
      <w:bookmarkEnd w:id="182"/>
    </w:p>
    <w:p w:rsidR="00B346AE" w:rsidRDefault="00822EBC" w:rsidP="0027218A">
      <w:pPr>
        <w:pStyle w:val="Heading2"/>
      </w:pPr>
      <w:bookmarkStart w:id="183" w:name="_Toc474493621"/>
      <w:bookmarkStart w:id="184" w:name="_Toc489364417"/>
      <w:r>
        <w:t>Key stakeholder acceptance</w:t>
      </w:r>
      <w:bookmarkEnd w:id="183"/>
      <w:bookmarkEnd w:id="184"/>
    </w:p>
    <w:p w:rsidR="00822EBC" w:rsidRDefault="00822EBC" w:rsidP="0027218A">
      <w:pPr>
        <w:pStyle w:val="Heading4"/>
      </w:pPr>
      <w:r>
        <w:t>Agenc</w:t>
      </w:r>
      <w:r w:rsidR="00A1106B">
        <w:t>ies</w:t>
      </w:r>
      <w:r>
        <w:t xml:space="preserve"> must take care to reduce any exposure for the NTG or opportunity for future complaints or disputes relating to the manner in which the data is managed and protected.</w:t>
      </w:r>
    </w:p>
    <w:p w:rsidR="00B70CA7" w:rsidRDefault="00822EBC" w:rsidP="00AD700E">
      <w:pPr>
        <w:pStyle w:val="NumberedPara"/>
        <w:numPr>
          <w:ilvl w:val="0"/>
          <w:numId w:val="55"/>
        </w:numPr>
      </w:pPr>
      <w:r>
        <w:t xml:space="preserve">The </w:t>
      </w:r>
      <w:r w:rsidR="0027218A">
        <w:t>agency</w:t>
      </w:r>
      <w:r>
        <w:t xml:space="preserve"> has a responsibility to ensure that other key parties involved in creating, receiving, handling or dealing with data to be stored by the external cloud service know and understand the service and data storage arrangements.</w:t>
      </w:r>
    </w:p>
    <w:p w:rsidR="00822EBC" w:rsidRPr="00822EBC" w:rsidRDefault="00822EBC" w:rsidP="00AD700E">
      <w:pPr>
        <w:pStyle w:val="NumberedPara"/>
        <w:numPr>
          <w:ilvl w:val="0"/>
          <w:numId w:val="55"/>
        </w:numPr>
      </w:pPr>
      <w:r>
        <w:t xml:space="preserve">Where the parties would reasonably have an expectation that their data is retained by the </w:t>
      </w:r>
      <w:r w:rsidR="0027218A">
        <w:t>agency</w:t>
      </w:r>
      <w:r>
        <w:t xml:space="preserve">, it is appropriate for the </w:t>
      </w:r>
      <w:r w:rsidR="0027218A">
        <w:t>agency</w:t>
      </w:r>
      <w:r>
        <w:t xml:space="preserve"> to inform them, assure them if required and address issues that may arise.</w:t>
      </w:r>
    </w:p>
    <w:p w:rsidR="00B346AE" w:rsidRDefault="00822EBC" w:rsidP="0027218A">
      <w:pPr>
        <w:pStyle w:val="Heading2"/>
      </w:pPr>
      <w:bookmarkStart w:id="185" w:name="_Toc489364418"/>
      <w:r>
        <w:t>Community</w:t>
      </w:r>
      <w:bookmarkEnd w:id="185"/>
    </w:p>
    <w:p w:rsidR="00822EBC" w:rsidRDefault="00822EBC" w:rsidP="00AD700E">
      <w:pPr>
        <w:pStyle w:val="NumberedPara"/>
        <w:numPr>
          <w:ilvl w:val="0"/>
          <w:numId w:val="56"/>
        </w:numPr>
      </w:pPr>
      <w:r>
        <w:t xml:space="preserve">It is incumbent on the </w:t>
      </w:r>
      <w:r w:rsidR="0027218A">
        <w:t>agency</w:t>
      </w:r>
      <w:r>
        <w:t xml:space="preserve"> to consider the needs and expectations of the community in delivering services and managing data,</w:t>
      </w:r>
      <w:r w:rsidRPr="00CD53AC">
        <w:t xml:space="preserve"> </w:t>
      </w:r>
      <w:r>
        <w:t xml:space="preserve">particularly if the data constitutes personal information relating to Northern Territory citizens or commercial data. Some circumstances are specified in the </w:t>
      </w:r>
      <w:r w:rsidRPr="00AD700E">
        <w:rPr>
          <w:i/>
        </w:rPr>
        <w:t>Information Act,</w:t>
      </w:r>
      <w:r>
        <w:t xml:space="preserve"> where the prior consent of the individuals to whom personal information relates is required before actions can be taken with the data. The </w:t>
      </w:r>
      <w:r w:rsidR="0027218A">
        <w:t>agency</w:t>
      </w:r>
      <w:r>
        <w:t xml:space="preserve"> would need certainty of its position regarding provision of such data to an external cloud services provider or appropriate permissions or protections.</w:t>
      </w:r>
    </w:p>
    <w:p w:rsidR="00822EBC" w:rsidRDefault="00822EBC" w:rsidP="00AD700E">
      <w:pPr>
        <w:pStyle w:val="NumberedPara"/>
        <w:numPr>
          <w:ilvl w:val="0"/>
          <w:numId w:val="56"/>
        </w:numPr>
      </w:pPr>
      <w:r>
        <w:t xml:space="preserve">The </w:t>
      </w:r>
      <w:r w:rsidR="0027218A">
        <w:t>agency</w:t>
      </w:r>
      <w:r>
        <w:t xml:space="preserve"> should consider communications and consultation to provide appropriate comfort to the community and the </w:t>
      </w:r>
      <w:r w:rsidR="0027218A">
        <w:t>agency</w:t>
      </w:r>
      <w:r>
        <w:t>’s clients regarding data management through an arrangement with an external cloud services provider.</w:t>
      </w:r>
    </w:p>
    <w:p w:rsidR="00822EBC" w:rsidRPr="004B2652" w:rsidRDefault="00822EBC" w:rsidP="00AD700E">
      <w:pPr>
        <w:pStyle w:val="NumberedPara"/>
        <w:numPr>
          <w:ilvl w:val="0"/>
          <w:numId w:val="56"/>
        </w:numPr>
      </w:pPr>
      <w:r>
        <w:t>Agency consideration of any potential reputation risk for the NTG and effective mitigation actions are recommended.</w:t>
      </w:r>
    </w:p>
    <w:p w:rsidR="00B346AE" w:rsidRDefault="00822EBC" w:rsidP="007B4F74">
      <w:pPr>
        <w:pStyle w:val="Heading1"/>
        <w:keepNext w:val="0"/>
        <w:widowControl w:val="0"/>
      </w:pPr>
      <w:bookmarkStart w:id="186" w:name="_Toc489364419"/>
      <w:r>
        <w:t>External cloud services register</w:t>
      </w:r>
      <w:bookmarkEnd w:id="186"/>
    </w:p>
    <w:p w:rsidR="00822EBC" w:rsidRDefault="00822EBC" w:rsidP="0027218A">
      <w:pPr>
        <w:pStyle w:val="Heading2"/>
      </w:pPr>
      <w:bookmarkStart w:id="187" w:name="_Toc489364420"/>
      <w:r>
        <w:t>Maintain register</w:t>
      </w:r>
      <w:bookmarkEnd w:id="187"/>
    </w:p>
    <w:p w:rsidR="00822EBC" w:rsidRDefault="00822EBC" w:rsidP="0027218A">
      <w:pPr>
        <w:pStyle w:val="Heading4"/>
      </w:pPr>
      <w:r>
        <w:t>Agencies must maintain a register of external cloud services utilised.</w:t>
      </w:r>
    </w:p>
    <w:p w:rsidR="00822EBC" w:rsidRDefault="00822EBC" w:rsidP="00AD700E">
      <w:pPr>
        <w:pStyle w:val="NumberedPara"/>
        <w:numPr>
          <w:ilvl w:val="0"/>
          <w:numId w:val="57"/>
        </w:numPr>
      </w:pPr>
      <w:r>
        <w:t>The register must include, at a minimum, details of the:</w:t>
      </w:r>
    </w:p>
    <w:p w:rsidR="00822EBC" w:rsidRDefault="00822EBC" w:rsidP="00AD700E">
      <w:pPr>
        <w:pStyle w:val="NumberedPara"/>
        <w:numPr>
          <w:ilvl w:val="1"/>
          <w:numId w:val="57"/>
        </w:numPr>
      </w:pPr>
      <w:proofErr w:type="gramStart"/>
      <w:r>
        <w:t>external</w:t>
      </w:r>
      <w:proofErr w:type="gramEnd"/>
      <w:r>
        <w:t xml:space="preserve"> cloud service provider (</w:t>
      </w:r>
      <w:r w:rsidR="0027218A">
        <w:t>e.g.</w:t>
      </w:r>
      <w:r>
        <w:t xml:space="preserve"> name, location </w:t>
      </w:r>
      <w:r w:rsidR="00182B7A">
        <w:t>etc.</w:t>
      </w:r>
      <w:r>
        <w:t>)</w:t>
      </w:r>
    </w:p>
    <w:p w:rsidR="00822EBC" w:rsidRDefault="00822EBC" w:rsidP="00AD700E">
      <w:pPr>
        <w:pStyle w:val="NumberedPara"/>
        <w:numPr>
          <w:ilvl w:val="1"/>
          <w:numId w:val="57"/>
        </w:numPr>
      </w:pPr>
      <w:r>
        <w:t>nature of the arrangement (</w:t>
      </w:r>
      <w:r w:rsidR="0027218A">
        <w:t>e.g.</w:t>
      </w:r>
      <w:r>
        <w:t xml:space="preserve"> type of cloud service, matters particular to th</w:t>
      </w:r>
      <w:r w:rsidR="00585F91">
        <w:t>e</w:t>
      </w:r>
      <w:r>
        <w:t xml:space="preserve"> arrangement)</w:t>
      </w:r>
    </w:p>
    <w:p w:rsidR="00822EBC" w:rsidRDefault="00822EBC" w:rsidP="00AD700E">
      <w:pPr>
        <w:pStyle w:val="NumberedPara"/>
        <w:numPr>
          <w:ilvl w:val="1"/>
          <w:numId w:val="57"/>
        </w:numPr>
      </w:pPr>
      <w:r>
        <w:t>nature of the information stored by the external cloud service and the security classification level of such information</w:t>
      </w:r>
    </w:p>
    <w:p w:rsidR="00822EBC" w:rsidRDefault="00822EBC" w:rsidP="00AD700E">
      <w:pPr>
        <w:pStyle w:val="NumberedPara"/>
        <w:numPr>
          <w:ilvl w:val="1"/>
          <w:numId w:val="57"/>
        </w:numPr>
      </w:pPr>
      <w:r>
        <w:t xml:space="preserve">physical location of the data centre(s) at which the </w:t>
      </w:r>
      <w:r w:rsidR="0027218A">
        <w:t>agency</w:t>
      </w:r>
      <w:r>
        <w:t>’s information is stored</w:t>
      </w:r>
    </w:p>
    <w:p w:rsidR="00822EBC" w:rsidRDefault="00822EBC" w:rsidP="00AD700E">
      <w:pPr>
        <w:pStyle w:val="NumberedPara"/>
        <w:numPr>
          <w:ilvl w:val="1"/>
          <w:numId w:val="57"/>
        </w:numPr>
      </w:pPr>
      <w:r>
        <w:t xml:space="preserve">copy or link to the risk assessment of the external cloud service required by this </w:t>
      </w:r>
      <w:r w:rsidR="00E34BFA">
        <w:t>standard</w:t>
      </w:r>
    </w:p>
    <w:p w:rsidR="00822EBC" w:rsidRDefault="00822EBC" w:rsidP="00AD700E">
      <w:pPr>
        <w:pStyle w:val="NumberedPara"/>
        <w:numPr>
          <w:ilvl w:val="1"/>
          <w:numId w:val="57"/>
        </w:numPr>
      </w:pPr>
      <w:r>
        <w:t xml:space="preserve">certification by the </w:t>
      </w:r>
      <w:r w:rsidR="0027218A">
        <w:t>agency</w:t>
      </w:r>
      <w:r w:rsidR="00B70CA7">
        <w:t xml:space="preserve"> chief executive</w:t>
      </w:r>
      <w:r>
        <w:t xml:space="preserve"> (copy of the signed certification)</w:t>
      </w:r>
    </w:p>
    <w:p w:rsidR="00822EBC" w:rsidRDefault="00822EBC" w:rsidP="00AD700E">
      <w:pPr>
        <w:pStyle w:val="NumberedPara"/>
        <w:numPr>
          <w:ilvl w:val="1"/>
          <w:numId w:val="57"/>
        </w:numPr>
      </w:pPr>
      <w:r>
        <w:lastRenderedPageBreak/>
        <w:t>term of the contractual arrangement with the external cloud service provider (including commencement and expiry dates and rights of renewal, if any)</w:t>
      </w:r>
    </w:p>
    <w:p w:rsidR="00822EBC" w:rsidRDefault="00822EBC" w:rsidP="00AD700E">
      <w:pPr>
        <w:pStyle w:val="NumberedPara"/>
        <w:numPr>
          <w:ilvl w:val="1"/>
          <w:numId w:val="57"/>
        </w:numPr>
      </w:pPr>
      <w:r>
        <w:t>costs of the arrangement</w:t>
      </w:r>
    </w:p>
    <w:p w:rsidR="00822EBC" w:rsidRDefault="00822EBC" w:rsidP="00AD700E">
      <w:pPr>
        <w:pStyle w:val="NumberedPara"/>
        <w:numPr>
          <w:ilvl w:val="1"/>
          <w:numId w:val="57"/>
        </w:numPr>
      </w:pPr>
      <w:proofErr w:type="gramStart"/>
      <w:r>
        <w:t>reference</w:t>
      </w:r>
      <w:proofErr w:type="gramEnd"/>
      <w:r>
        <w:t xml:space="preserve"> to the contract agreement with the service provider.</w:t>
      </w:r>
    </w:p>
    <w:p w:rsidR="00A81110" w:rsidRPr="006212FA" w:rsidRDefault="00822EBC" w:rsidP="00AD700E">
      <w:pPr>
        <w:pStyle w:val="NumberedPara"/>
        <w:numPr>
          <w:ilvl w:val="0"/>
          <w:numId w:val="57"/>
        </w:numPr>
      </w:pPr>
      <w:r>
        <w:t xml:space="preserve">Given the passing of control that occurs with an external cloud services provider and the risks this introduces for the NTG, an </w:t>
      </w:r>
      <w:r w:rsidR="0027218A">
        <w:t>agency</w:t>
      </w:r>
      <w:r>
        <w:t xml:space="preserve"> register of external cloud service arrangements is</w:t>
      </w:r>
      <w:r w:rsidR="00585F91">
        <w:t xml:space="preserve"> a</w:t>
      </w:r>
      <w:r>
        <w:t xml:space="preserve"> necessary</w:t>
      </w:r>
      <w:r w:rsidR="00585F91">
        <w:t xml:space="preserve"> governance measure</w:t>
      </w:r>
      <w:r>
        <w:t>.</w:t>
      </w:r>
    </w:p>
    <w:p w:rsidR="00822EBC" w:rsidRDefault="00ED7580" w:rsidP="0027218A">
      <w:pPr>
        <w:pStyle w:val="Heading2"/>
      </w:pPr>
      <w:bookmarkStart w:id="188" w:name="_Toc474493625"/>
      <w:bookmarkStart w:id="189" w:name="_Toc489364421"/>
      <w:r>
        <w:t>Allocate responsibility</w:t>
      </w:r>
      <w:bookmarkEnd w:id="188"/>
      <w:bookmarkEnd w:id="189"/>
    </w:p>
    <w:p w:rsidR="00A81110" w:rsidRDefault="00ED7580" w:rsidP="0027218A">
      <w:pPr>
        <w:pStyle w:val="Heading4"/>
      </w:pPr>
      <w:r>
        <w:t>Agencies must assign a position or staff member with responsibility to manage the relationship with each external cloud service provider.</w:t>
      </w:r>
    </w:p>
    <w:p w:rsidR="00ED7580" w:rsidRDefault="00ED7580" w:rsidP="00AD700E">
      <w:pPr>
        <w:pStyle w:val="NumberedPara"/>
        <w:numPr>
          <w:ilvl w:val="0"/>
          <w:numId w:val="58"/>
        </w:numPr>
      </w:pPr>
      <w:r>
        <w:t>It i</w:t>
      </w:r>
      <w:r w:rsidR="00182B7A">
        <w:t>s recommended that this be the c</w:t>
      </w:r>
      <w:r>
        <w:t xml:space="preserve">hief </w:t>
      </w:r>
      <w:r w:rsidR="00182B7A">
        <w:t>information o</w:t>
      </w:r>
      <w:r>
        <w:t xml:space="preserve">fficer of the </w:t>
      </w:r>
      <w:r w:rsidR="0027218A">
        <w:t>agency</w:t>
      </w:r>
      <w:r>
        <w:t xml:space="preserve"> or an equivalent senior position.</w:t>
      </w:r>
    </w:p>
    <w:p w:rsidR="00137AA9" w:rsidRDefault="00137AA9" w:rsidP="007B4F74">
      <w:pPr>
        <w:pStyle w:val="Heading1"/>
        <w:keepNext w:val="0"/>
      </w:pPr>
      <w:bookmarkStart w:id="190" w:name="_Toc482699284"/>
      <w:bookmarkStart w:id="191" w:name="_Toc482699285"/>
      <w:bookmarkStart w:id="192" w:name="_Toc482699286"/>
      <w:bookmarkStart w:id="193" w:name="_Toc452040421"/>
      <w:bookmarkStart w:id="194" w:name="_Toc452043785"/>
      <w:bookmarkStart w:id="195" w:name="_Toc452111702"/>
      <w:bookmarkStart w:id="196" w:name="_Toc447101518"/>
      <w:bookmarkStart w:id="197" w:name="_Toc489364422"/>
      <w:bookmarkEnd w:id="109"/>
      <w:bookmarkEnd w:id="190"/>
      <w:bookmarkEnd w:id="191"/>
      <w:bookmarkEnd w:id="192"/>
      <w:bookmarkEnd w:id="193"/>
      <w:bookmarkEnd w:id="194"/>
      <w:bookmarkEnd w:id="195"/>
      <w:r>
        <w:t>Glossar</w:t>
      </w:r>
      <w:r w:rsidR="0027218A">
        <w:t>y of a</w:t>
      </w:r>
      <w:r>
        <w:t>cronyms</w:t>
      </w:r>
      <w:bookmarkEnd w:id="196"/>
      <w:bookmarkEnd w:id="197"/>
    </w:p>
    <w:tbl>
      <w:tblPr>
        <w:tblStyle w:val="NTGTable"/>
        <w:tblW w:w="9663" w:type="dxa"/>
        <w:tblInd w:w="0" w:type="dxa"/>
        <w:tblLook w:val="0620" w:firstRow="1" w:lastRow="0" w:firstColumn="0" w:lastColumn="0" w:noHBand="1" w:noVBand="1"/>
        <w:tblDescription w:val="Glossary of acronyms"/>
      </w:tblPr>
      <w:tblGrid>
        <w:gridCol w:w="1442"/>
        <w:gridCol w:w="8221"/>
      </w:tblGrid>
      <w:tr w:rsidR="00137AA9" w:rsidTr="00182B7A">
        <w:trPr>
          <w:cnfStyle w:val="100000000000" w:firstRow="1" w:lastRow="0" w:firstColumn="0" w:lastColumn="0" w:oddVBand="0" w:evenVBand="0" w:oddHBand="0" w:evenHBand="0" w:firstRowFirstColumn="0" w:firstRowLastColumn="0" w:lastRowFirstColumn="0" w:lastRowLastColumn="0"/>
        </w:trPr>
        <w:tc>
          <w:tcPr>
            <w:tcW w:w="1442" w:type="dxa"/>
            <w:hideMark/>
          </w:tcPr>
          <w:p w:rsidR="00137AA9" w:rsidRPr="002369CD" w:rsidRDefault="00137AA9" w:rsidP="0027218A">
            <w:pPr>
              <w:pStyle w:val="NTGTableText"/>
              <w:spacing w:after="60"/>
            </w:pPr>
            <w:bookmarkStart w:id="198" w:name="Title"/>
            <w:r w:rsidRPr="002369CD">
              <w:t>Acronym</w:t>
            </w:r>
          </w:p>
        </w:tc>
        <w:tc>
          <w:tcPr>
            <w:tcW w:w="8221" w:type="dxa"/>
            <w:hideMark/>
          </w:tcPr>
          <w:p w:rsidR="00137AA9" w:rsidRPr="002369CD" w:rsidRDefault="00137AA9" w:rsidP="0027218A">
            <w:pPr>
              <w:pStyle w:val="NTGTableText"/>
              <w:spacing w:after="60"/>
            </w:pPr>
            <w:r w:rsidRPr="002369CD">
              <w:t>Full form</w:t>
            </w:r>
          </w:p>
        </w:tc>
      </w:tr>
      <w:bookmarkEnd w:id="198"/>
      <w:tr w:rsidR="00ED7580" w:rsidTr="00182B7A">
        <w:tc>
          <w:tcPr>
            <w:tcW w:w="1442" w:type="dxa"/>
          </w:tcPr>
          <w:p w:rsidR="00ED7580" w:rsidRPr="002E3B83" w:rsidRDefault="00ED7580" w:rsidP="0027218A">
            <w:pPr>
              <w:pStyle w:val="NTGTableText"/>
              <w:spacing w:before="60" w:after="60"/>
            </w:pPr>
            <w:r>
              <w:t>ASD</w:t>
            </w:r>
          </w:p>
        </w:tc>
        <w:tc>
          <w:tcPr>
            <w:tcW w:w="8221" w:type="dxa"/>
          </w:tcPr>
          <w:p w:rsidR="00ED7580" w:rsidRPr="002E3B83" w:rsidRDefault="00ED7580" w:rsidP="0027218A">
            <w:pPr>
              <w:pStyle w:val="NTGTableText"/>
              <w:spacing w:before="60" w:after="60"/>
            </w:pPr>
            <w:r>
              <w:t>Australian Signals Directorate</w:t>
            </w:r>
          </w:p>
        </w:tc>
      </w:tr>
      <w:tr w:rsidR="00ED7580" w:rsidTr="00182B7A">
        <w:tc>
          <w:tcPr>
            <w:tcW w:w="1442" w:type="dxa"/>
          </w:tcPr>
          <w:p w:rsidR="00ED7580" w:rsidRDefault="00ED7580" w:rsidP="0027218A">
            <w:pPr>
              <w:pStyle w:val="NTGTableText"/>
              <w:spacing w:before="60" w:after="60"/>
            </w:pPr>
            <w:r>
              <w:t>CCSL</w:t>
            </w:r>
          </w:p>
        </w:tc>
        <w:tc>
          <w:tcPr>
            <w:tcW w:w="8221" w:type="dxa"/>
          </w:tcPr>
          <w:p w:rsidR="00ED7580" w:rsidRDefault="00ED7580" w:rsidP="00182B7A">
            <w:pPr>
              <w:pStyle w:val="NTGTableText"/>
              <w:spacing w:before="60" w:after="60"/>
            </w:pPr>
            <w:r>
              <w:t xml:space="preserve">Certified </w:t>
            </w:r>
            <w:r w:rsidR="00182B7A">
              <w:t>cloud services l</w:t>
            </w:r>
            <w:r>
              <w:t>ist</w:t>
            </w:r>
            <w:r w:rsidR="00585F91">
              <w:t xml:space="preserve"> (provided by ASD)</w:t>
            </w:r>
          </w:p>
        </w:tc>
      </w:tr>
      <w:tr w:rsidR="00ED7580" w:rsidTr="00182B7A">
        <w:tc>
          <w:tcPr>
            <w:tcW w:w="1442" w:type="dxa"/>
          </w:tcPr>
          <w:p w:rsidR="00ED7580" w:rsidRPr="002E3B83" w:rsidRDefault="00ED7580" w:rsidP="0027218A">
            <w:pPr>
              <w:pStyle w:val="NTGTableText"/>
              <w:spacing w:before="60" w:after="60"/>
            </w:pPr>
            <w:r>
              <w:t>ICT</w:t>
            </w:r>
          </w:p>
        </w:tc>
        <w:tc>
          <w:tcPr>
            <w:tcW w:w="8221" w:type="dxa"/>
          </w:tcPr>
          <w:p w:rsidR="00ED7580" w:rsidRPr="002E3B83" w:rsidRDefault="00ED7580" w:rsidP="00182B7A">
            <w:pPr>
              <w:pStyle w:val="NTGTableText"/>
              <w:spacing w:before="60" w:after="60"/>
            </w:pPr>
            <w:r>
              <w:t xml:space="preserve">Information and </w:t>
            </w:r>
            <w:r w:rsidR="00182B7A">
              <w:t>c</w:t>
            </w:r>
            <w:r>
              <w:t xml:space="preserve">ommunications </w:t>
            </w:r>
            <w:r w:rsidR="00182B7A">
              <w:t>t</w:t>
            </w:r>
            <w:r>
              <w:t>echnology</w:t>
            </w:r>
          </w:p>
        </w:tc>
      </w:tr>
      <w:tr w:rsidR="00ED7580" w:rsidTr="00182B7A">
        <w:tc>
          <w:tcPr>
            <w:tcW w:w="1442" w:type="dxa"/>
          </w:tcPr>
          <w:p w:rsidR="00ED7580" w:rsidRPr="002E3B83" w:rsidRDefault="00ED7580" w:rsidP="0027218A">
            <w:pPr>
              <w:pStyle w:val="NTGTableText"/>
              <w:spacing w:before="60" w:after="60"/>
            </w:pPr>
            <w:r>
              <w:t>IPPs</w:t>
            </w:r>
          </w:p>
        </w:tc>
        <w:tc>
          <w:tcPr>
            <w:tcW w:w="8221" w:type="dxa"/>
          </w:tcPr>
          <w:p w:rsidR="00ED7580" w:rsidRPr="002E3B83" w:rsidRDefault="00182B7A" w:rsidP="00182B7A">
            <w:pPr>
              <w:pStyle w:val="NTGTableText"/>
              <w:spacing w:before="60" w:after="60"/>
            </w:pPr>
            <w:r>
              <w:t>Information p</w:t>
            </w:r>
            <w:r w:rsidR="00ED7580">
              <w:t xml:space="preserve">rivacy </w:t>
            </w:r>
            <w:r>
              <w:t>principles as prescribed in s</w:t>
            </w:r>
            <w:r w:rsidR="00ED7580">
              <w:t>chedule</w:t>
            </w:r>
            <w:r>
              <w:t> </w:t>
            </w:r>
            <w:r w:rsidR="00ED7580">
              <w:t xml:space="preserve">2 of the </w:t>
            </w:r>
            <w:r w:rsidR="00ED7580" w:rsidRPr="008148F2">
              <w:rPr>
                <w:i/>
              </w:rPr>
              <w:t>Information Act</w:t>
            </w:r>
          </w:p>
        </w:tc>
      </w:tr>
      <w:tr w:rsidR="00ED7580" w:rsidTr="00182B7A">
        <w:tc>
          <w:tcPr>
            <w:tcW w:w="1442" w:type="dxa"/>
          </w:tcPr>
          <w:p w:rsidR="00ED7580" w:rsidRPr="002E3B83" w:rsidRDefault="00ED7580" w:rsidP="0027218A">
            <w:pPr>
              <w:pStyle w:val="NTGTableText"/>
              <w:spacing w:before="60" w:after="60"/>
            </w:pPr>
            <w:r>
              <w:t>NTG</w:t>
            </w:r>
          </w:p>
        </w:tc>
        <w:tc>
          <w:tcPr>
            <w:tcW w:w="8221" w:type="dxa"/>
          </w:tcPr>
          <w:p w:rsidR="00ED7580" w:rsidRPr="002E3B83" w:rsidRDefault="00ED7580" w:rsidP="0027218A">
            <w:pPr>
              <w:pStyle w:val="NTGTableText"/>
              <w:spacing w:before="60" w:after="60"/>
            </w:pPr>
            <w:r>
              <w:t>Northern Territory Government</w:t>
            </w:r>
          </w:p>
        </w:tc>
      </w:tr>
      <w:tr w:rsidR="00A1106B" w:rsidTr="00182B7A">
        <w:tc>
          <w:tcPr>
            <w:tcW w:w="1442" w:type="dxa"/>
          </w:tcPr>
          <w:p w:rsidR="00A1106B" w:rsidRDefault="00A1106B" w:rsidP="0027218A">
            <w:pPr>
              <w:pStyle w:val="NTGTableText"/>
              <w:spacing w:before="60" w:after="60"/>
            </w:pPr>
            <w:r>
              <w:t>IR</w:t>
            </w:r>
            <w:r w:rsidR="009053EE">
              <w:t>A</w:t>
            </w:r>
            <w:r>
              <w:t>P</w:t>
            </w:r>
          </w:p>
        </w:tc>
        <w:tc>
          <w:tcPr>
            <w:tcW w:w="8221" w:type="dxa"/>
          </w:tcPr>
          <w:p w:rsidR="00A1106B" w:rsidRDefault="009053EE" w:rsidP="00182B7A">
            <w:pPr>
              <w:pStyle w:val="NTGTableText"/>
              <w:spacing w:before="60" w:after="60"/>
            </w:pPr>
            <w:r>
              <w:t xml:space="preserve">Information </w:t>
            </w:r>
            <w:r w:rsidR="00182B7A">
              <w:t>s</w:t>
            </w:r>
            <w:r>
              <w:t xml:space="preserve">ecurity </w:t>
            </w:r>
            <w:r w:rsidR="00182B7A">
              <w:t>r</w:t>
            </w:r>
            <w:r>
              <w:t xml:space="preserve">egistered </w:t>
            </w:r>
            <w:r w:rsidR="00182B7A">
              <w:t>assessors p</w:t>
            </w:r>
            <w:r>
              <w:t xml:space="preserve">rogram </w:t>
            </w:r>
          </w:p>
        </w:tc>
      </w:tr>
    </w:tbl>
    <w:p w:rsidR="00137AA9" w:rsidRDefault="00137AA9" w:rsidP="00C4280D">
      <w:pPr>
        <w:pStyle w:val="Heading1"/>
        <w:keepNext w:val="0"/>
      </w:pPr>
      <w:bookmarkStart w:id="199" w:name="_Toc489364423"/>
      <w:r w:rsidRPr="00E72867">
        <w:t>Supporting</w:t>
      </w:r>
      <w:r>
        <w:t xml:space="preserve"> </w:t>
      </w:r>
      <w:r w:rsidR="0027218A">
        <w:t>r</w:t>
      </w:r>
      <w:r>
        <w:t>eferences</w:t>
      </w:r>
      <w:bookmarkEnd w:id="199"/>
    </w:p>
    <w:p w:rsidR="00ED7580" w:rsidRPr="00ED7580" w:rsidRDefault="00ED7580" w:rsidP="0027218A">
      <w:pPr>
        <w:pStyle w:val="Heading2"/>
      </w:pPr>
      <w:bookmarkStart w:id="200" w:name="_Toc489364424"/>
      <w:r>
        <w:t>NTG documents</w:t>
      </w:r>
      <w:bookmarkEnd w:id="200"/>
    </w:p>
    <w:p w:rsidR="00ED7580" w:rsidRPr="00182B7A" w:rsidRDefault="00182B7A" w:rsidP="0069742C">
      <w:pPr>
        <w:pStyle w:val="BulletStyle"/>
      </w:pPr>
      <w:r>
        <w:t>Cloud c</w:t>
      </w:r>
      <w:r w:rsidR="00ED7580" w:rsidRPr="00182B7A">
        <w:t xml:space="preserve">omputing </w:t>
      </w:r>
      <w:r>
        <w:t>p</w:t>
      </w:r>
      <w:r w:rsidR="00ED7580" w:rsidRPr="00182B7A">
        <w:t>olicy</w:t>
      </w:r>
    </w:p>
    <w:p w:rsidR="00ED7580" w:rsidRPr="00182B7A" w:rsidRDefault="00182B7A" w:rsidP="0069742C">
      <w:pPr>
        <w:pStyle w:val="BulletStyle"/>
      </w:pPr>
      <w:r>
        <w:t>Records management s</w:t>
      </w:r>
      <w:r w:rsidR="00ED7580" w:rsidRPr="00182B7A">
        <w:t xml:space="preserve">tandards for </w:t>
      </w:r>
      <w:r>
        <w:t>p</w:t>
      </w:r>
      <w:r w:rsidR="00ED7580" w:rsidRPr="00182B7A">
        <w:t xml:space="preserve">ublic </w:t>
      </w:r>
      <w:r>
        <w:t>s</w:t>
      </w:r>
      <w:r w:rsidR="00ED7580" w:rsidRPr="00182B7A">
        <w:t xml:space="preserve">ector </w:t>
      </w:r>
      <w:r>
        <w:t>o</w:t>
      </w:r>
      <w:r w:rsidR="00ED7580" w:rsidRPr="00182B7A">
        <w:t>rganisations in the Northern Territory</w:t>
      </w:r>
    </w:p>
    <w:p w:rsidR="00ED7580" w:rsidRDefault="00ED7580" w:rsidP="0069742C">
      <w:pPr>
        <w:pStyle w:val="BulletStyle"/>
      </w:pPr>
      <w:r>
        <w:t xml:space="preserve">Treasurer’s </w:t>
      </w:r>
      <w:r w:rsidR="00182B7A">
        <w:t>directions ICT s</w:t>
      </w:r>
      <w:r>
        <w:t>eries</w:t>
      </w:r>
    </w:p>
    <w:p w:rsidR="00ED7580" w:rsidRDefault="00ED7580" w:rsidP="0027218A">
      <w:pPr>
        <w:pStyle w:val="Heading2"/>
      </w:pPr>
      <w:bookmarkStart w:id="201" w:name="_Toc489364425"/>
      <w:r>
        <w:t>Australian Government documents</w:t>
      </w:r>
      <w:bookmarkEnd w:id="201"/>
    </w:p>
    <w:p w:rsidR="00ED7580" w:rsidRDefault="00ED7580" w:rsidP="0069742C">
      <w:pPr>
        <w:pStyle w:val="BulletStyle"/>
      </w:pPr>
      <w:r w:rsidRPr="00182B7A">
        <w:t>Australian Government Protective Security Policy Framework</w:t>
      </w:r>
      <w:r>
        <w:t xml:space="preserve"> </w:t>
      </w:r>
      <w:r w:rsidR="00672201">
        <w:rPr>
          <w:rStyle w:val="FootnoteReference"/>
        </w:rPr>
        <w:footnoteReference w:id="3"/>
      </w:r>
      <w:r>
        <w:t>()</w:t>
      </w:r>
    </w:p>
    <w:p w:rsidR="00ED7580" w:rsidRDefault="00ED7580" w:rsidP="0069742C">
      <w:pPr>
        <w:pStyle w:val="BulletStyle"/>
      </w:pPr>
      <w:r w:rsidRPr="00182B7A">
        <w:t>Australian Government Information Security Manual – Controls</w:t>
      </w:r>
      <w:r w:rsidR="0027218A" w:rsidRPr="00182B7A">
        <w:t xml:space="preserve"> – </w:t>
      </w:r>
      <w:r w:rsidRPr="00182B7A">
        <w:t>Outsourced General Information Technology Services, Outsourced Cloud Services sections</w:t>
      </w:r>
      <w:r>
        <w:t xml:space="preserve"> </w:t>
      </w:r>
      <w:r w:rsidR="00672201">
        <w:rPr>
          <w:rStyle w:val="FootnoteReference"/>
        </w:rPr>
        <w:footnoteReference w:id="4"/>
      </w:r>
    </w:p>
    <w:p w:rsidR="00B70CA7" w:rsidRDefault="00ED7580" w:rsidP="0069742C">
      <w:pPr>
        <w:pStyle w:val="BulletStyle"/>
      </w:pPr>
      <w:r w:rsidRPr="00182B7A">
        <w:lastRenderedPageBreak/>
        <w:t>Australian Government Information Management Office, Negotiating the cloud – legal issues in cloud computing agreements – Better Practice Guide</w:t>
      </w:r>
      <w:r w:rsidR="00672201">
        <w:rPr>
          <w:rStyle w:val="FootnoteReference"/>
        </w:rPr>
        <w:footnoteReference w:id="5"/>
      </w:r>
    </w:p>
    <w:p w:rsidR="00331A0D" w:rsidRDefault="00331A0D">
      <w:pPr>
        <w:spacing w:after="0"/>
        <w:rPr>
          <w:rFonts w:eastAsiaTheme="majorEastAsia" w:cstheme="majorBidi"/>
          <w:bCs/>
          <w:kern w:val="32"/>
          <w:szCs w:val="36"/>
        </w:rPr>
      </w:pPr>
      <w:r>
        <w:br w:type="page"/>
      </w:r>
    </w:p>
    <w:p w:rsidR="00ED7580" w:rsidRDefault="00B70CA7" w:rsidP="0027218A">
      <w:pPr>
        <w:pStyle w:val="Appendix"/>
      </w:pPr>
      <w:bookmarkStart w:id="202" w:name="_Toc489364426"/>
      <w:r>
        <w:lastRenderedPageBreak/>
        <w:t>Appendix A</w:t>
      </w:r>
      <w:r w:rsidR="00ED7580">
        <w:t xml:space="preserve">: </w:t>
      </w:r>
      <w:bookmarkStart w:id="203" w:name="_Toc474493631"/>
      <w:r w:rsidR="00182B7A">
        <w:t>External c</w:t>
      </w:r>
      <w:r w:rsidR="0027218A">
        <w:t xml:space="preserve">loud </w:t>
      </w:r>
      <w:r w:rsidR="00182B7A">
        <w:t>s</w:t>
      </w:r>
      <w:r w:rsidR="0027218A">
        <w:t>ervice p</w:t>
      </w:r>
      <w:r w:rsidR="00ED7580">
        <w:t>roposal</w:t>
      </w:r>
      <w:bookmarkEnd w:id="202"/>
      <w:bookmarkEnd w:id="203"/>
    </w:p>
    <w:tbl>
      <w:tblPr>
        <w:tblStyle w:val="NTGTable"/>
        <w:tblW w:w="9918" w:type="dxa"/>
        <w:tblInd w:w="0" w:type="dxa"/>
        <w:tblLayout w:type="fixed"/>
        <w:tblLook w:val="04A0" w:firstRow="1" w:lastRow="0" w:firstColumn="1" w:lastColumn="0" w:noHBand="0" w:noVBand="1"/>
        <w:tblDescription w:val="External Cloud Service Proposal - Chief Executive Checklist; 1) entering the agreement; 2) protection of information; 3) performance management; 4) ending the agreement; 5) Other legal issues and 6) third parties."/>
      </w:tblPr>
      <w:tblGrid>
        <w:gridCol w:w="2405"/>
        <w:gridCol w:w="6804"/>
        <w:gridCol w:w="709"/>
      </w:tblGrid>
      <w:tr w:rsidR="00782044" w:rsidRPr="00411DF9" w:rsidTr="00782044">
        <w:trPr>
          <w:cnfStyle w:val="100000000000" w:firstRow="1" w:lastRow="0" w:firstColumn="0" w:lastColumn="0" w:oddVBand="0" w:evenVBand="0" w:oddHBand="0" w:evenHBand="0" w:firstRowFirstColumn="0" w:firstRowLastColumn="0" w:lastRowFirstColumn="0" w:lastRowLastColumn="0"/>
          <w:hidden/>
        </w:trPr>
        <w:tc>
          <w:tcPr>
            <w:tcW w:w="9918" w:type="dxa"/>
            <w:gridSpan w:val="3"/>
          </w:tcPr>
          <w:p w:rsidR="00782044" w:rsidRPr="00411DF9" w:rsidRDefault="00411DF9" w:rsidP="00411DF9">
            <w:pPr>
              <w:spacing w:after="60"/>
              <w:jc w:val="left"/>
              <w:rPr>
                <w:sz w:val="32"/>
                <w:szCs w:val="32"/>
              </w:rPr>
            </w:pPr>
            <w:r>
              <w:rPr>
                <w:rStyle w:val="NTGHiddenAccessiblityFieldsChar"/>
              </w:rPr>
              <w:fldChar w:fldCharType="begin">
                <w:ffData>
                  <w:name w:val="InfoStartOfForm"/>
                  <w:enabled w:val="0"/>
                  <w:calcOnExit w:val="0"/>
                  <w:statusText w:type="text" w:val="Info: PRess tab key to start filling in the form"/>
                  <w:checkBox>
                    <w:sizeAuto/>
                    <w:default w:val="0"/>
                  </w:checkBox>
                </w:ffData>
              </w:fldChar>
            </w:r>
            <w:bookmarkStart w:id="204" w:name="InfoStartOfForm"/>
            <w:r>
              <w:rPr>
                <w:rStyle w:val="NTGHiddenAccessiblityFieldsChar"/>
              </w:rPr>
              <w:instrText xml:space="preserve"> FORMCHECKBOX </w:instrText>
            </w:r>
            <w:r w:rsidR="00B43C6B">
              <w:rPr>
                <w:rStyle w:val="NTGHiddenAccessiblityFieldsChar"/>
              </w:rPr>
            </w:r>
            <w:r w:rsidR="00B43C6B">
              <w:rPr>
                <w:rStyle w:val="NTGHiddenAccessiblityFieldsChar"/>
              </w:rPr>
              <w:fldChar w:fldCharType="separate"/>
            </w:r>
            <w:r>
              <w:rPr>
                <w:rStyle w:val="NTGHiddenAccessiblityFieldsChar"/>
              </w:rPr>
              <w:fldChar w:fldCharType="end"/>
            </w:r>
            <w:bookmarkEnd w:id="204"/>
            <w:r w:rsidR="00182B7A">
              <w:rPr>
                <w:sz w:val="32"/>
                <w:szCs w:val="32"/>
              </w:rPr>
              <w:t>Chief e</w:t>
            </w:r>
            <w:r w:rsidR="00782044" w:rsidRPr="00411DF9">
              <w:rPr>
                <w:sz w:val="32"/>
                <w:szCs w:val="32"/>
              </w:rPr>
              <w:t>xecutive checklist</w:t>
            </w:r>
            <w:r>
              <w:rPr>
                <w:rStyle w:val="NTGHiddenAccessiblityFieldsChar"/>
              </w:rPr>
              <w:fldChar w:fldCharType="begin">
                <w:ffData>
                  <w:name w:val="Checklist"/>
                  <w:enabled/>
                  <w:calcOnExit w:val="0"/>
                  <w:statusText w:type="text" w:val="Chief Executive checklist"/>
                  <w:checkBox>
                    <w:sizeAuto/>
                    <w:default w:val="0"/>
                  </w:checkBox>
                </w:ffData>
              </w:fldChar>
            </w:r>
            <w:bookmarkStart w:id="205" w:name="Checklist"/>
            <w:r>
              <w:rPr>
                <w:rStyle w:val="NTGHiddenAccessiblityFieldsChar"/>
              </w:rPr>
              <w:instrText xml:space="preserve"> FORMCHECKBOX </w:instrText>
            </w:r>
            <w:r w:rsidR="00B43C6B">
              <w:rPr>
                <w:rStyle w:val="NTGHiddenAccessiblityFieldsChar"/>
              </w:rPr>
            </w:r>
            <w:r w:rsidR="00B43C6B">
              <w:rPr>
                <w:rStyle w:val="NTGHiddenAccessiblityFieldsChar"/>
              </w:rPr>
              <w:fldChar w:fldCharType="separate"/>
            </w:r>
            <w:r>
              <w:rPr>
                <w:rStyle w:val="NTGHiddenAccessiblityFieldsChar"/>
              </w:rPr>
              <w:fldChar w:fldCharType="end"/>
            </w:r>
            <w:bookmarkEnd w:id="205"/>
          </w:p>
        </w:tc>
      </w:tr>
      <w:tr w:rsidR="00782044" w:rsidTr="00782044">
        <w:trPr>
          <w:cantSplit/>
        </w:trPr>
        <w:tc>
          <w:tcPr>
            <w:tcW w:w="2405" w:type="dxa"/>
          </w:tcPr>
          <w:p w:rsidR="00782044" w:rsidRPr="00782044" w:rsidRDefault="00782044" w:rsidP="00782044">
            <w:pPr>
              <w:pStyle w:val="NTGTableText"/>
              <w:spacing w:before="60" w:after="60"/>
              <w:rPr>
                <w:szCs w:val="22"/>
              </w:rPr>
            </w:pPr>
            <w:r w:rsidRPr="00782044">
              <w:rPr>
                <w:szCs w:val="22"/>
              </w:rPr>
              <w:t>Agency</w:t>
            </w:r>
          </w:p>
        </w:tc>
        <w:tc>
          <w:tcPr>
            <w:tcW w:w="7513" w:type="dxa"/>
            <w:gridSpan w:val="2"/>
          </w:tcPr>
          <w:p w:rsidR="00782044" w:rsidRDefault="00782044" w:rsidP="00782044">
            <w:pPr>
              <w:pStyle w:val="NTGTableText"/>
              <w:spacing w:before="60" w:after="60"/>
            </w:pPr>
            <w:r>
              <w:fldChar w:fldCharType="begin">
                <w:ffData>
                  <w:name w:val="Agency"/>
                  <w:enabled/>
                  <w:calcOnExit w:val="0"/>
                  <w:statusText w:type="text" w:val="Agency name"/>
                  <w:textInput/>
                </w:ffData>
              </w:fldChar>
            </w:r>
            <w:bookmarkStart w:id="206" w:name="Agency"/>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6"/>
          </w:p>
        </w:tc>
      </w:tr>
      <w:tr w:rsidR="00782044" w:rsidTr="00782044">
        <w:trPr>
          <w:cantSplit/>
        </w:trPr>
        <w:tc>
          <w:tcPr>
            <w:tcW w:w="2405" w:type="dxa"/>
          </w:tcPr>
          <w:p w:rsidR="00782044" w:rsidRPr="00782044" w:rsidRDefault="00782044" w:rsidP="00782044">
            <w:pPr>
              <w:pStyle w:val="NTGTableText"/>
              <w:spacing w:before="60" w:after="60"/>
              <w:rPr>
                <w:szCs w:val="22"/>
              </w:rPr>
            </w:pPr>
            <w:r w:rsidRPr="00782044">
              <w:rPr>
                <w:szCs w:val="22"/>
              </w:rPr>
              <w:t>Service proposed</w:t>
            </w:r>
          </w:p>
        </w:tc>
        <w:tc>
          <w:tcPr>
            <w:tcW w:w="7513" w:type="dxa"/>
            <w:gridSpan w:val="2"/>
          </w:tcPr>
          <w:p w:rsidR="00782044" w:rsidRDefault="00782044" w:rsidP="00782044">
            <w:pPr>
              <w:pStyle w:val="NTGTableText"/>
              <w:spacing w:before="60" w:after="60"/>
            </w:pPr>
            <w:r>
              <w:fldChar w:fldCharType="begin">
                <w:ffData>
                  <w:name w:val="ServiceProposed"/>
                  <w:enabled/>
                  <w:calcOnExit w:val="0"/>
                  <w:statusText w:type="text" w:val="Service proposed?"/>
                  <w:textInput/>
                </w:ffData>
              </w:fldChar>
            </w:r>
            <w:bookmarkStart w:id="207" w:name="ServiceProposed"/>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7"/>
          </w:p>
        </w:tc>
      </w:tr>
      <w:tr w:rsidR="00782044" w:rsidRPr="009D5820" w:rsidTr="00782044">
        <w:trPr>
          <w:cantSplit/>
        </w:trPr>
        <w:tc>
          <w:tcPr>
            <w:tcW w:w="9918" w:type="dxa"/>
            <w:gridSpan w:val="3"/>
            <w:shd w:val="clear" w:color="auto" w:fill="D9D9D9" w:themeFill="background1" w:themeFillShade="D9"/>
          </w:tcPr>
          <w:p w:rsidR="00782044" w:rsidRPr="00782044" w:rsidRDefault="00782044" w:rsidP="00411DF9">
            <w:pPr>
              <w:pStyle w:val="NTGTableText"/>
              <w:spacing w:before="60" w:after="60"/>
              <w:rPr>
                <w:rFonts w:cs="Arial"/>
                <w:b/>
              </w:rPr>
            </w:pPr>
            <w:r w:rsidRPr="00782044">
              <w:rPr>
                <w:rFonts w:cs="Arial"/>
                <w:b/>
              </w:rPr>
              <w:t>Entering the agreement</w:t>
            </w:r>
            <w:r w:rsidR="00411DF9">
              <w:rPr>
                <w:rStyle w:val="NTGHiddenAccessiblityFieldsChar"/>
              </w:rPr>
              <w:fldChar w:fldCharType="begin">
                <w:ffData>
                  <w:name w:val="EnterTheAgreement"/>
                  <w:enabled/>
                  <w:calcOnExit w:val="0"/>
                  <w:statusText w:type="text" w:val="Entering the agreement."/>
                  <w:checkBox>
                    <w:sizeAuto/>
                    <w:default w:val="0"/>
                  </w:checkBox>
                </w:ffData>
              </w:fldChar>
            </w:r>
            <w:bookmarkStart w:id="208" w:name="EnterTheAgreement"/>
            <w:r w:rsidR="00411DF9">
              <w:rPr>
                <w:rStyle w:val="NTGHiddenAccessiblityFieldsChar"/>
              </w:rPr>
              <w:instrText xml:space="preserve"> FORMCHECKBOX </w:instrText>
            </w:r>
            <w:r w:rsidR="00B43C6B">
              <w:rPr>
                <w:rStyle w:val="NTGHiddenAccessiblityFieldsChar"/>
              </w:rPr>
            </w:r>
            <w:r w:rsidR="00B43C6B">
              <w:rPr>
                <w:rStyle w:val="NTGHiddenAccessiblityFieldsChar"/>
              </w:rPr>
              <w:fldChar w:fldCharType="separate"/>
            </w:r>
            <w:r w:rsidR="00411DF9">
              <w:rPr>
                <w:rStyle w:val="NTGHiddenAccessiblityFieldsChar"/>
              </w:rPr>
              <w:fldChar w:fldCharType="end"/>
            </w:r>
            <w:bookmarkEnd w:id="208"/>
          </w:p>
        </w:tc>
      </w:tr>
      <w:tr w:rsidR="00782044" w:rsidTr="00782044">
        <w:trPr>
          <w:cantSplit/>
        </w:trPr>
        <w:tc>
          <w:tcPr>
            <w:tcW w:w="9209" w:type="dxa"/>
            <w:gridSpan w:val="2"/>
          </w:tcPr>
          <w:p w:rsidR="00782044" w:rsidRDefault="00782044" w:rsidP="00782044">
            <w:pPr>
              <w:pStyle w:val="NTGTableText"/>
              <w:spacing w:before="60" w:after="60"/>
              <w:rPr>
                <w:rFonts w:cs="Arial"/>
              </w:rPr>
            </w:pPr>
            <w:r>
              <w:rPr>
                <w:rFonts w:cs="Arial"/>
              </w:rPr>
              <w:t xml:space="preserve">Agreement in writing </w:t>
            </w:r>
          </w:p>
        </w:tc>
        <w:tc>
          <w:tcPr>
            <w:tcW w:w="709" w:type="dxa"/>
          </w:tcPr>
          <w:p w:rsidR="00782044" w:rsidRDefault="00782044" w:rsidP="00782044">
            <w:pPr>
              <w:pStyle w:val="NTGTableText"/>
              <w:spacing w:before="60" w:after="60"/>
              <w:rPr>
                <w:rFonts w:cs="Arial"/>
              </w:rPr>
            </w:pPr>
            <w:r>
              <w:fldChar w:fldCharType="begin">
                <w:ffData>
                  <w:name w:val="EnterAgreement1"/>
                  <w:enabled/>
                  <w:calcOnExit w:val="0"/>
                  <w:statusText w:type="text" w:val="Is the agreeement in writing?"/>
                  <w:checkBox>
                    <w:sizeAuto/>
                    <w:default w:val="0"/>
                  </w:checkBox>
                </w:ffData>
              </w:fldChar>
            </w:r>
            <w:bookmarkStart w:id="209" w:name="EnterAgreement1"/>
            <w:r>
              <w:instrText xml:space="preserve"> FORMCHECKBOX </w:instrText>
            </w:r>
            <w:r w:rsidR="00B43C6B">
              <w:fldChar w:fldCharType="separate"/>
            </w:r>
            <w:r>
              <w:fldChar w:fldCharType="end"/>
            </w:r>
            <w:bookmarkEnd w:id="209"/>
          </w:p>
        </w:tc>
      </w:tr>
      <w:tr w:rsidR="00782044" w:rsidTr="00782044">
        <w:trPr>
          <w:cantSplit/>
        </w:trPr>
        <w:tc>
          <w:tcPr>
            <w:tcW w:w="9209" w:type="dxa"/>
            <w:gridSpan w:val="2"/>
          </w:tcPr>
          <w:p w:rsidR="00782044" w:rsidRDefault="00782044" w:rsidP="00782044">
            <w:pPr>
              <w:pStyle w:val="NTGTableText"/>
              <w:spacing w:before="60" w:after="60"/>
              <w:rPr>
                <w:rFonts w:cs="Arial"/>
              </w:rPr>
            </w:pPr>
            <w:r>
              <w:rPr>
                <w:rFonts w:cs="Arial"/>
              </w:rPr>
              <w:t>Legal advice obtained</w:t>
            </w:r>
          </w:p>
        </w:tc>
        <w:tc>
          <w:tcPr>
            <w:tcW w:w="709" w:type="dxa"/>
          </w:tcPr>
          <w:p w:rsidR="00782044" w:rsidRDefault="00782044" w:rsidP="00782044">
            <w:pPr>
              <w:pStyle w:val="NTGTableText"/>
              <w:spacing w:before="60" w:after="60"/>
              <w:rPr>
                <w:rFonts w:cs="Arial"/>
              </w:rPr>
            </w:pPr>
            <w:r>
              <w:fldChar w:fldCharType="begin">
                <w:ffData>
                  <w:name w:val="EnterAgreement2"/>
                  <w:enabled/>
                  <w:calcOnExit w:val="0"/>
                  <w:statusText w:type="text" w:val="Has legal advice been obtained?"/>
                  <w:checkBox>
                    <w:sizeAuto/>
                    <w:default w:val="0"/>
                  </w:checkBox>
                </w:ffData>
              </w:fldChar>
            </w:r>
            <w:bookmarkStart w:id="210" w:name="EnterAgreement2"/>
            <w:r>
              <w:instrText xml:space="preserve"> FORMCHECKBOX </w:instrText>
            </w:r>
            <w:r w:rsidR="00B43C6B">
              <w:fldChar w:fldCharType="separate"/>
            </w:r>
            <w:r>
              <w:fldChar w:fldCharType="end"/>
            </w:r>
            <w:bookmarkEnd w:id="210"/>
          </w:p>
        </w:tc>
      </w:tr>
      <w:tr w:rsidR="00782044" w:rsidRPr="009D5820" w:rsidTr="00782044">
        <w:trPr>
          <w:cantSplit/>
        </w:trPr>
        <w:tc>
          <w:tcPr>
            <w:tcW w:w="9918" w:type="dxa"/>
            <w:gridSpan w:val="3"/>
            <w:shd w:val="clear" w:color="auto" w:fill="D9D9D9" w:themeFill="background1" w:themeFillShade="D9"/>
          </w:tcPr>
          <w:p w:rsidR="00782044" w:rsidRPr="00782044" w:rsidRDefault="00782044" w:rsidP="00411DF9">
            <w:pPr>
              <w:pStyle w:val="NTGTableText"/>
              <w:spacing w:before="60" w:after="60"/>
              <w:rPr>
                <w:rFonts w:cs="Arial"/>
                <w:b/>
              </w:rPr>
            </w:pPr>
            <w:r w:rsidRPr="00782044">
              <w:rPr>
                <w:rFonts w:cs="Arial"/>
                <w:b/>
              </w:rPr>
              <w:t>Protection of information</w:t>
            </w:r>
            <w:r w:rsidR="00411DF9">
              <w:rPr>
                <w:rStyle w:val="NTGHiddenAccessiblityFieldsChar"/>
              </w:rPr>
              <w:fldChar w:fldCharType="begin">
                <w:ffData>
                  <w:name w:val="ProtectInformation"/>
                  <w:enabled/>
                  <w:calcOnExit w:val="0"/>
                  <w:statusText w:type="text" w:val="Protection of information"/>
                  <w:checkBox>
                    <w:sizeAuto/>
                    <w:default w:val="0"/>
                  </w:checkBox>
                </w:ffData>
              </w:fldChar>
            </w:r>
            <w:bookmarkStart w:id="211" w:name="ProtectInformation"/>
            <w:r w:rsidR="00411DF9">
              <w:rPr>
                <w:rStyle w:val="NTGHiddenAccessiblityFieldsChar"/>
              </w:rPr>
              <w:instrText xml:space="preserve"> FORMCHECKBOX </w:instrText>
            </w:r>
            <w:r w:rsidR="00B43C6B">
              <w:rPr>
                <w:rStyle w:val="NTGHiddenAccessiblityFieldsChar"/>
              </w:rPr>
            </w:r>
            <w:r w:rsidR="00B43C6B">
              <w:rPr>
                <w:rStyle w:val="NTGHiddenAccessiblityFieldsChar"/>
              </w:rPr>
              <w:fldChar w:fldCharType="separate"/>
            </w:r>
            <w:r w:rsidR="00411DF9">
              <w:rPr>
                <w:rStyle w:val="NTGHiddenAccessiblityFieldsChar"/>
              </w:rPr>
              <w:fldChar w:fldCharType="end"/>
            </w:r>
            <w:bookmarkEnd w:id="211"/>
          </w:p>
        </w:tc>
      </w:tr>
      <w:tr w:rsidR="00782044" w:rsidTr="00782044">
        <w:trPr>
          <w:cantSplit/>
        </w:trPr>
        <w:tc>
          <w:tcPr>
            <w:tcW w:w="9209" w:type="dxa"/>
            <w:gridSpan w:val="2"/>
          </w:tcPr>
          <w:p w:rsidR="00782044" w:rsidRDefault="00782044" w:rsidP="00782044">
            <w:pPr>
              <w:pStyle w:val="NTGTableText"/>
              <w:spacing w:before="60" w:after="60"/>
              <w:rPr>
                <w:rFonts w:cs="Arial"/>
              </w:rPr>
            </w:pPr>
            <w:r w:rsidRPr="001E1B0E">
              <w:t>Privacy</w:t>
            </w:r>
          </w:p>
        </w:tc>
        <w:tc>
          <w:tcPr>
            <w:tcW w:w="709" w:type="dxa"/>
          </w:tcPr>
          <w:p w:rsidR="00782044" w:rsidRPr="001E1B0E" w:rsidRDefault="00411DF9" w:rsidP="00782044">
            <w:pPr>
              <w:pStyle w:val="NTGTableText"/>
              <w:spacing w:before="60" w:after="60"/>
            </w:pPr>
            <w:r>
              <w:fldChar w:fldCharType="begin">
                <w:ffData>
                  <w:name w:val="ProtectInfo1"/>
                  <w:enabled/>
                  <w:calcOnExit w:val="0"/>
                  <w:statusText w:type="text" w:val="Protection of information: Privacy"/>
                  <w:checkBox>
                    <w:sizeAuto/>
                    <w:default w:val="0"/>
                  </w:checkBox>
                </w:ffData>
              </w:fldChar>
            </w:r>
            <w:bookmarkStart w:id="212" w:name="ProtectInfo1"/>
            <w:r>
              <w:instrText xml:space="preserve"> FORMCHECKBOX </w:instrText>
            </w:r>
            <w:r w:rsidR="00B43C6B">
              <w:fldChar w:fldCharType="separate"/>
            </w:r>
            <w:r>
              <w:fldChar w:fldCharType="end"/>
            </w:r>
            <w:bookmarkEnd w:id="212"/>
          </w:p>
        </w:tc>
      </w:tr>
      <w:tr w:rsidR="00782044" w:rsidTr="00782044">
        <w:trPr>
          <w:cantSplit/>
        </w:trPr>
        <w:tc>
          <w:tcPr>
            <w:tcW w:w="9209" w:type="dxa"/>
            <w:gridSpan w:val="2"/>
          </w:tcPr>
          <w:p w:rsidR="00782044" w:rsidRPr="001E1B0E" w:rsidRDefault="00782044" w:rsidP="00782044">
            <w:pPr>
              <w:pStyle w:val="NTGTableText"/>
              <w:spacing w:before="60" w:after="60"/>
            </w:pPr>
            <w:r>
              <w:t>Data ownership</w:t>
            </w:r>
          </w:p>
        </w:tc>
        <w:tc>
          <w:tcPr>
            <w:tcW w:w="709" w:type="dxa"/>
          </w:tcPr>
          <w:p w:rsidR="00782044" w:rsidRDefault="00411DF9" w:rsidP="00782044">
            <w:pPr>
              <w:pStyle w:val="NTGTableText"/>
              <w:spacing w:before="60" w:after="60"/>
            </w:pPr>
            <w:r>
              <w:fldChar w:fldCharType="begin">
                <w:ffData>
                  <w:name w:val="ProtectInfo2"/>
                  <w:enabled/>
                  <w:calcOnExit w:val="0"/>
                  <w:statusText w:type="text" w:val="Protection of information: Data ownership?"/>
                  <w:checkBox>
                    <w:sizeAuto/>
                    <w:default w:val="0"/>
                  </w:checkBox>
                </w:ffData>
              </w:fldChar>
            </w:r>
            <w:bookmarkStart w:id="213" w:name="ProtectInfo2"/>
            <w:r>
              <w:instrText xml:space="preserve"> FORMCHECKBOX </w:instrText>
            </w:r>
            <w:r w:rsidR="00B43C6B">
              <w:fldChar w:fldCharType="separate"/>
            </w:r>
            <w:r>
              <w:fldChar w:fldCharType="end"/>
            </w:r>
            <w:bookmarkEnd w:id="213"/>
          </w:p>
        </w:tc>
      </w:tr>
      <w:tr w:rsidR="00782044" w:rsidTr="00782044">
        <w:trPr>
          <w:cantSplit/>
        </w:trPr>
        <w:tc>
          <w:tcPr>
            <w:tcW w:w="9209" w:type="dxa"/>
            <w:gridSpan w:val="2"/>
          </w:tcPr>
          <w:p w:rsidR="00782044" w:rsidRDefault="00782044" w:rsidP="00411DF9">
            <w:pPr>
              <w:pStyle w:val="NTGTableText"/>
              <w:spacing w:before="60" w:after="60"/>
            </w:pPr>
            <w:r>
              <w:t>Data sovereignty (application of foreign laws/</w:t>
            </w:r>
            <w:proofErr w:type="spellStart"/>
            <w:r>
              <w:t>transborder</w:t>
            </w:r>
            <w:proofErr w:type="spellEnd"/>
            <w:r>
              <w:t xml:space="preserve"> data transfer)</w:t>
            </w:r>
          </w:p>
        </w:tc>
        <w:tc>
          <w:tcPr>
            <w:tcW w:w="709" w:type="dxa"/>
          </w:tcPr>
          <w:p w:rsidR="00782044" w:rsidRDefault="00411DF9" w:rsidP="00782044">
            <w:pPr>
              <w:pStyle w:val="NTGTableText"/>
              <w:spacing w:before="60" w:after="60"/>
            </w:pPr>
            <w:r>
              <w:fldChar w:fldCharType="begin">
                <w:ffData>
                  <w:name w:val="ProtectInfo3"/>
                  <w:enabled/>
                  <w:calcOnExit w:val="0"/>
                  <w:statusText w:type="text" w:val="Protection of information: Data sovereignty (application of foriegn laws/transborder data transfer.)"/>
                  <w:checkBox>
                    <w:sizeAuto/>
                    <w:default w:val="0"/>
                  </w:checkBox>
                </w:ffData>
              </w:fldChar>
            </w:r>
            <w:bookmarkStart w:id="214" w:name="ProtectInfo3"/>
            <w:r>
              <w:instrText xml:space="preserve"> FORMCHECKBOX </w:instrText>
            </w:r>
            <w:r w:rsidR="00B43C6B">
              <w:fldChar w:fldCharType="separate"/>
            </w:r>
            <w:r>
              <w:fldChar w:fldCharType="end"/>
            </w:r>
            <w:bookmarkEnd w:id="214"/>
          </w:p>
        </w:tc>
      </w:tr>
      <w:tr w:rsidR="00782044" w:rsidTr="00782044">
        <w:trPr>
          <w:cantSplit/>
        </w:trPr>
        <w:tc>
          <w:tcPr>
            <w:tcW w:w="9209" w:type="dxa"/>
            <w:gridSpan w:val="2"/>
          </w:tcPr>
          <w:p w:rsidR="00782044" w:rsidRDefault="00782044" w:rsidP="00782044">
            <w:pPr>
              <w:pStyle w:val="NTGTableText"/>
              <w:spacing w:before="60" w:after="60"/>
              <w:rPr>
                <w:rFonts w:cs="Arial"/>
              </w:rPr>
            </w:pPr>
            <w:r>
              <w:t xml:space="preserve">Data </w:t>
            </w:r>
            <w:r w:rsidRPr="001E1B0E">
              <w:t>security</w:t>
            </w:r>
          </w:p>
        </w:tc>
        <w:tc>
          <w:tcPr>
            <w:tcW w:w="709" w:type="dxa"/>
          </w:tcPr>
          <w:p w:rsidR="00782044" w:rsidRDefault="00411DF9" w:rsidP="00782044">
            <w:pPr>
              <w:pStyle w:val="NTGTableText"/>
              <w:spacing w:before="60" w:after="60"/>
            </w:pPr>
            <w:r>
              <w:fldChar w:fldCharType="begin">
                <w:ffData>
                  <w:name w:val="ProtectInfo4"/>
                  <w:enabled/>
                  <w:calcOnExit w:val="0"/>
                  <w:statusText w:type="text" w:val="Protection of information: Data security"/>
                  <w:checkBox>
                    <w:sizeAuto/>
                    <w:default w:val="0"/>
                  </w:checkBox>
                </w:ffData>
              </w:fldChar>
            </w:r>
            <w:bookmarkStart w:id="215" w:name="ProtectInfo4"/>
            <w:r>
              <w:instrText xml:space="preserve"> FORMCHECKBOX </w:instrText>
            </w:r>
            <w:r w:rsidR="00B43C6B">
              <w:fldChar w:fldCharType="separate"/>
            </w:r>
            <w:r>
              <w:fldChar w:fldCharType="end"/>
            </w:r>
            <w:bookmarkEnd w:id="215"/>
          </w:p>
        </w:tc>
      </w:tr>
      <w:tr w:rsidR="00782044" w:rsidTr="00782044">
        <w:trPr>
          <w:cantSplit/>
        </w:trPr>
        <w:tc>
          <w:tcPr>
            <w:tcW w:w="9209" w:type="dxa"/>
            <w:gridSpan w:val="2"/>
          </w:tcPr>
          <w:p w:rsidR="00782044" w:rsidRDefault="00782044" w:rsidP="00782044">
            <w:pPr>
              <w:pStyle w:val="NTGTableText"/>
              <w:spacing w:before="60" w:after="60"/>
              <w:rPr>
                <w:rFonts w:cs="Arial"/>
              </w:rPr>
            </w:pPr>
            <w:r w:rsidRPr="001E1B0E">
              <w:t>Confidentiality</w:t>
            </w:r>
          </w:p>
        </w:tc>
        <w:tc>
          <w:tcPr>
            <w:tcW w:w="709" w:type="dxa"/>
          </w:tcPr>
          <w:p w:rsidR="00782044" w:rsidRPr="001E1B0E" w:rsidRDefault="00411DF9" w:rsidP="00782044">
            <w:pPr>
              <w:pStyle w:val="NTGTableText"/>
              <w:spacing w:before="60" w:after="60"/>
            </w:pPr>
            <w:r>
              <w:fldChar w:fldCharType="begin">
                <w:ffData>
                  <w:name w:val="ProtectInfo5"/>
                  <w:enabled/>
                  <w:calcOnExit w:val="0"/>
                  <w:statusText w:type="text" w:val="Protection of information: Confidentiality"/>
                  <w:checkBox>
                    <w:sizeAuto/>
                    <w:default w:val="0"/>
                  </w:checkBox>
                </w:ffData>
              </w:fldChar>
            </w:r>
            <w:bookmarkStart w:id="216" w:name="ProtectInfo5"/>
            <w:r>
              <w:instrText xml:space="preserve"> FORMCHECKBOX </w:instrText>
            </w:r>
            <w:r w:rsidR="00B43C6B">
              <w:fldChar w:fldCharType="separate"/>
            </w:r>
            <w:r>
              <w:fldChar w:fldCharType="end"/>
            </w:r>
            <w:bookmarkEnd w:id="216"/>
          </w:p>
        </w:tc>
      </w:tr>
      <w:tr w:rsidR="00782044" w:rsidTr="00782044">
        <w:trPr>
          <w:cantSplit/>
        </w:trPr>
        <w:tc>
          <w:tcPr>
            <w:tcW w:w="9209" w:type="dxa"/>
            <w:gridSpan w:val="2"/>
          </w:tcPr>
          <w:p w:rsidR="00782044" w:rsidRDefault="00782044" w:rsidP="00782044">
            <w:pPr>
              <w:pStyle w:val="NTGTableText"/>
              <w:spacing w:before="60" w:after="60"/>
              <w:rPr>
                <w:rFonts w:cs="Arial"/>
              </w:rPr>
            </w:pPr>
            <w:r w:rsidRPr="001E1B0E">
              <w:t xml:space="preserve">Records management </w:t>
            </w:r>
            <w:r>
              <w:t xml:space="preserve">and freedom of information </w:t>
            </w:r>
            <w:r w:rsidRPr="001E1B0E">
              <w:t>requirements</w:t>
            </w:r>
          </w:p>
        </w:tc>
        <w:tc>
          <w:tcPr>
            <w:tcW w:w="709" w:type="dxa"/>
          </w:tcPr>
          <w:p w:rsidR="00782044" w:rsidRPr="001E1B0E" w:rsidRDefault="00411DF9" w:rsidP="00782044">
            <w:pPr>
              <w:pStyle w:val="NTGTableText"/>
              <w:spacing w:before="60" w:after="60"/>
            </w:pPr>
            <w:r>
              <w:fldChar w:fldCharType="begin">
                <w:ffData>
                  <w:name w:val="ProtectInfo6"/>
                  <w:enabled/>
                  <w:calcOnExit w:val="0"/>
                  <w:statusText w:type="text" w:val="Protection of information: Records management and freedom of information requirements"/>
                  <w:checkBox>
                    <w:sizeAuto/>
                    <w:default w:val="0"/>
                  </w:checkBox>
                </w:ffData>
              </w:fldChar>
            </w:r>
            <w:bookmarkStart w:id="217" w:name="ProtectInfo6"/>
            <w:r>
              <w:instrText xml:space="preserve"> FORMCHECKBOX </w:instrText>
            </w:r>
            <w:r w:rsidR="00B43C6B">
              <w:fldChar w:fldCharType="separate"/>
            </w:r>
            <w:r>
              <w:fldChar w:fldCharType="end"/>
            </w:r>
            <w:bookmarkEnd w:id="217"/>
          </w:p>
        </w:tc>
      </w:tr>
      <w:tr w:rsidR="00782044" w:rsidTr="00782044">
        <w:trPr>
          <w:cantSplit/>
        </w:trPr>
        <w:tc>
          <w:tcPr>
            <w:tcW w:w="9209" w:type="dxa"/>
            <w:gridSpan w:val="2"/>
          </w:tcPr>
          <w:p w:rsidR="00782044" w:rsidRPr="001E1B0E" w:rsidRDefault="00782044" w:rsidP="00782044">
            <w:pPr>
              <w:pStyle w:val="NTGTableText"/>
              <w:spacing w:before="60" w:after="60"/>
            </w:pPr>
            <w:r>
              <w:t>Access</w:t>
            </w:r>
          </w:p>
        </w:tc>
        <w:tc>
          <w:tcPr>
            <w:tcW w:w="709" w:type="dxa"/>
          </w:tcPr>
          <w:p w:rsidR="00782044" w:rsidRDefault="00411DF9" w:rsidP="00782044">
            <w:pPr>
              <w:pStyle w:val="NTGTableText"/>
              <w:spacing w:before="60" w:after="60"/>
            </w:pPr>
            <w:r>
              <w:fldChar w:fldCharType="begin">
                <w:ffData>
                  <w:name w:val="ProtectInfo7"/>
                  <w:enabled/>
                  <w:calcOnExit w:val="0"/>
                  <w:statusText w:type="text" w:val="Protection of information: Access"/>
                  <w:checkBox>
                    <w:sizeAuto/>
                    <w:default w:val="0"/>
                  </w:checkBox>
                </w:ffData>
              </w:fldChar>
            </w:r>
            <w:bookmarkStart w:id="218" w:name="ProtectInfo7"/>
            <w:r>
              <w:instrText xml:space="preserve"> FORMCHECKBOX </w:instrText>
            </w:r>
            <w:r w:rsidR="00B43C6B">
              <w:fldChar w:fldCharType="separate"/>
            </w:r>
            <w:r>
              <w:fldChar w:fldCharType="end"/>
            </w:r>
            <w:bookmarkEnd w:id="218"/>
          </w:p>
        </w:tc>
      </w:tr>
      <w:tr w:rsidR="00782044" w:rsidTr="00782044">
        <w:trPr>
          <w:cantSplit/>
        </w:trPr>
        <w:tc>
          <w:tcPr>
            <w:tcW w:w="9209" w:type="dxa"/>
            <w:gridSpan w:val="2"/>
          </w:tcPr>
          <w:p w:rsidR="00782044" w:rsidRDefault="00782044" w:rsidP="00782044">
            <w:pPr>
              <w:pStyle w:val="NTGTableText"/>
              <w:spacing w:before="60" w:after="60"/>
              <w:rPr>
                <w:rFonts w:cs="Arial"/>
              </w:rPr>
            </w:pPr>
            <w:r w:rsidRPr="001E1B0E">
              <w:t>Audit</w:t>
            </w:r>
          </w:p>
        </w:tc>
        <w:tc>
          <w:tcPr>
            <w:tcW w:w="709" w:type="dxa"/>
          </w:tcPr>
          <w:p w:rsidR="00782044" w:rsidRPr="001E1B0E" w:rsidRDefault="00411DF9" w:rsidP="00782044">
            <w:pPr>
              <w:pStyle w:val="NTGTableText"/>
              <w:spacing w:before="60" w:after="60"/>
            </w:pPr>
            <w:r>
              <w:fldChar w:fldCharType="begin">
                <w:ffData>
                  <w:name w:val="ProtectInfo8"/>
                  <w:enabled/>
                  <w:calcOnExit w:val="0"/>
                  <w:statusText w:type="text" w:val="Protection of information: Audit"/>
                  <w:checkBox>
                    <w:sizeAuto/>
                    <w:default w:val="0"/>
                  </w:checkBox>
                </w:ffData>
              </w:fldChar>
            </w:r>
            <w:bookmarkStart w:id="219" w:name="ProtectInfo8"/>
            <w:r>
              <w:instrText xml:space="preserve"> FORMCHECKBOX </w:instrText>
            </w:r>
            <w:r w:rsidR="00B43C6B">
              <w:fldChar w:fldCharType="separate"/>
            </w:r>
            <w:r>
              <w:fldChar w:fldCharType="end"/>
            </w:r>
            <w:bookmarkEnd w:id="219"/>
          </w:p>
        </w:tc>
      </w:tr>
      <w:tr w:rsidR="00782044" w:rsidTr="00782044">
        <w:trPr>
          <w:cantSplit/>
        </w:trPr>
        <w:tc>
          <w:tcPr>
            <w:tcW w:w="9209" w:type="dxa"/>
            <w:gridSpan w:val="2"/>
          </w:tcPr>
          <w:p w:rsidR="00782044" w:rsidRDefault="00782044" w:rsidP="00782044">
            <w:pPr>
              <w:pStyle w:val="NTGTableText"/>
              <w:spacing w:before="60" w:after="60"/>
              <w:rPr>
                <w:rFonts w:cs="Arial"/>
              </w:rPr>
            </w:pPr>
            <w:r>
              <w:t>Liabilities and indemnities, including compensation for data loss and/or misuse</w:t>
            </w:r>
          </w:p>
        </w:tc>
        <w:tc>
          <w:tcPr>
            <w:tcW w:w="709" w:type="dxa"/>
          </w:tcPr>
          <w:p w:rsidR="00782044" w:rsidRDefault="00411DF9" w:rsidP="00782044">
            <w:pPr>
              <w:pStyle w:val="NTGTableText"/>
              <w:spacing w:before="60" w:after="60"/>
            </w:pPr>
            <w:r>
              <w:fldChar w:fldCharType="begin">
                <w:ffData>
                  <w:name w:val="ProtectInfo9"/>
                  <w:enabled/>
                  <w:calcOnExit w:val="0"/>
                  <w:statusText w:type="text" w:val="Protection of information: Liabilities and idemnities, inlcuding compensation for data loss and/or misuse."/>
                  <w:checkBox>
                    <w:sizeAuto/>
                    <w:default w:val="0"/>
                  </w:checkBox>
                </w:ffData>
              </w:fldChar>
            </w:r>
            <w:bookmarkStart w:id="220" w:name="ProtectInfo9"/>
            <w:r>
              <w:instrText xml:space="preserve"> FORMCHECKBOX </w:instrText>
            </w:r>
            <w:r w:rsidR="00B43C6B">
              <w:fldChar w:fldCharType="separate"/>
            </w:r>
            <w:r>
              <w:fldChar w:fldCharType="end"/>
            </w:r>
            <w:bookmarkEnd w:id="220"/>
          </w:p>
        </w:tc>
      </w:tr>
      <w:tr w:rsidR="00782044" w:rsidTr="00782044">
        <w:trPr>
          <w:cantSplit/>
        </w:trPr>
        <w:tc>
          <w:tcPr>
            <w:tcW w:w="9209" w:type="dxa"/>
            <w:gridSpan w:val="2"/>
          </w:tcPr>
          <w:p w:rsidR="00782044" w:rsidRDefault="00782044" w:rsidP="00782044">
            <w:pPr>
              <w:pStyle w:val="NTGTableText"/>
              <w:spacing w:before="60" w:after="60"/>
              <w:rPr>
                <w:rFonts w:cs="Arial"/>
              </w:rPr>
            </w:pPr>
            <w:r w:rsidRPr="001E1B0E">
              <w:t>Subcontractors</w:t>
            </w:r>
          </w:p>
        </w:tc>
        <w:tc>
          <w:tcPr>
            <w:tcW w:w="709" w:type="dxa"/>
          </w:tcPr>
          <w:p w:rsidR="00782044" w:rsidRPr="001E1B0E" w:rsidRDefault="00411DF9" w:rsidP="00782044">
            <w:pPr>
              <w:pStyle w:val="NTGTableText"/>
              <w:spacing w:before="60" w:after="60"/>
            </w:pPr>
            <w:r>
              <w:fldChar w:fldCharType="begin">
                <w:ffData>
                  <w:name w:val="ProtectInfo10"/>
                  <w:enabled/>
                  <w:calcOnExit w:val="0"/>
                  <w:statusText w:type="text" w:val="Protection of information: Subcontractors"/>
                  <w:checkBox>
                    <w:sizeAuto/>
                    <w:default w:val="0"/>
                  </w:checkBox>
                </w:ffData>
              </w:fldChar>
            </w:r>
            <w:bookmarkStart w:id="221" w:name="ProtectInfo10"/>
            <w:r>
              <w:instrText xml:space="preserve"> FORMCHECKBOX </w:instrText>
            </w:r>
            <w:r w:rsidR="00B43C6B">
              <w:fldChar w:fldCharType="separate"/>
            </w:r>
            <w:r>
              <w:fldChar w:fldCharType="end"/>
            </w:r>
            <w:bookmarkEnd w:id="221"/>
          </w:p>
        </w:tc>
      </w:tr>
      <w:tr w:rsidR="00782044" w:rsidRPr="009D5820" w:rsidTr="00782044">
        <w:trPr>
          <w:cantSplit/>
        </w:trPr>
        <w:tc>
          <w:tcPr>
            <w:tcW w:w="9918" w:type="dxa"/>
            <w:gridSpan w:val="3"/>
            <w:shd w:val="clear" w:color="auto" w:fill="D9D9D9" w:themeFill="background1" w:themeFillShade="D9"/>
          </w:tcPr>
          <w:p w:rsidR="00782044" w:rsidRPr="00782044" w:rsidRDefault="00782044" w:rsidP="00411DF9">
            <w:pPr>
              <w:pStyle w:val="NTGTableText"/>
              <w:spacing w:before="60" w:after="60"/>
              <w:rPr>
                <w:rFonts w:cs="Arial"/>
                <w:b/>
              </w:rPr>
            </w:pPr>
            <w:r w:rsidRPr="00782044">
              <w:rPr>
                <w:rFonts w:cs="Arial"/>
                <w:b/>
              </w:rPr>
              <w:t>Performance management</w:t>
            </w:r>
            <w:r w:rsidR="00411DF9">
              <w:rPr>
                <w:rStyle w:val="NTGHiddenAccessiblityFieldsChar"/>
              </w:rPr>
              <w:fldChar w:fldCharType="begin">
                <w:ffData>
                  <w:name w:val="PerformMgmt"/>
                  <w:enabled/>
                  <w:calcOnExit w:val="0"/>
                  <w:statusText w:type="text" w:val="Performance Management"/>
                  <w:checkBox>
                    <w:sizeAuto/>
                    <w:default w:val="0"/>
                  </w:checkBox>
                </w:ffData>
              </w:fldChar>
            </w:r>
            <w:bookmarkStart w:id="222" w:name="PerformMgmt"/>
            <w:r w:rsidR="00411DF9">
              <w:rPr>
                <w:rStyle w:val="NTGHiddenAccessiblityFieldsChar"/>
              </w:rPr>
              <w:instrText xml:space="preserve"> FORMCHECKBOX </w:instrText>
            </w:r>
            <w:r w:rsidR="00B43C6B">
              <w:rPr>
                <w:rStyle w:val="NTGHiddenAccessiblityFieldsChar"/>
              </w:rPr>
            </w:r>
            <w:r w:rsidR="00B43C6B">
              <w:rPr>
                <w:rStyle w:val="NTGHiddenAccessiblityFieldsChar"/>
              </w:rPr>
              <w:fldChar w:fldCharType="separate"/>
            </w:r>
            <w:r w:rsidR="00411DF9">
              <w:rPr>
                <w:rStyle w:val="NTGHiddenAccessiblityFieldsChar"/>
              </w:rPr>
              <w:fldChar w:fldCharType="end"/>
            </w:r>
            <w:bookmarkEnd w:id="222"/>
          </w:p>
        </w:tc>
      </w:tr>
      <w:tr w:rsidR="00782044" w:rsidTr="00782044">
        <w:trPr>
          <w:cantSplit/>
        </w:trPr>
        <w:tc>
          <w:tcPr>
            <w:tcW w:w="9209" w:type="dxa"/>
            <w:gridSpan w:val="2"/>
          </w:tcPr>
          <w:p w:rsidR="00782044" w:rsidRPr="001E1B0E" w:rsidRDefault="00782044" w:rsidP="00782044">
            <w:pPr>
              <w:pStyle w:val="NTGTableText"/>
              <w:spacing w:before="60" w:after="60"/>
            </w:pPr>
            <w:r w:rsidRPr="00C45F17">
              <w:t>Service levels</w:t>
            </w:r>
          </w:p>
        </w:tc>
        <w:tc>
          <w:tcPr>
            <w:tcW w:w="709" w:type="dxa"/>
          </w:tcPr>
          <w:p w:rsidR="00782044" w:rsidRPr="00C45F17" w:rsidRDefault="00411DF9" w:rsidP="00782044">
            <w:pPr>
              <w:pStyle w:val="NTGTableText"/>
              <w:spacing w:before="60" w:after="60"/>
            </w:pPr>
            <w:r>
              <w:fldChar w:fldCharType="begin">
                <w:ffData>
                  <w:name w:val="PerformMgmt1"/>
                  <w:enabled/>
                  <w:calcOnExit w:val="0"/>
                  <w:statusText w:type="text" w:val="Preformance management: service levels"/>
                  <w:checkBox>
                    <w:sizeAuto/>
                    <w:default w:val="0"/>
                  </w:checkBox>
                </w:ffData>
              </w:fldChar>
            </w:r>
            <w:bookmarkStart w:id="223" w:name="PerformMgmt1"/>
            <w:r>
              <w:instrText xml:space="preserve"> FORMCHECKBOX </w:instrText>
            </w:r>
            <w:r w:rsidR="00B43C6B">
              <w:fldChar w:fldCharType="separate"/>
            </w:r>
            <w:r>
              <w:fldChar w:fldCharType="end"/>
            </w:r>
            <w:bookmarkEnd w:id="223"/>
          </w:p>
        </w:tc>
      </w:tr>
      <w:tr w:rsidR="00782044" w:rsidTr="00782044">
        <w:trPr>
          <w:cantSplit/>
        </w:trPr>
        <w:tc>
          <w:tcPr>
            <w:tcW w:w="9209" w:type="dxa"/>
            <w:gridSpan w:val="2"/>
          </w:tcPr>
          <w:p w:rsidR="00782044" w:rsidRPr="001E1B0E" w:rsidRDefault="00782044" w:rsidP="00782044">
            <w:pPr>
              <w:pStyle w:val="NTGTableText"/>
              <w:spacing w:before="60" w:after="60"/>
            </w:pPr>
            <w:r w:rsidRPr="00C45F17">
              <w:t>Response times</w:t>
            </w:r>
          </w:p>
        </w:tc>
        <w:tc>
          <w:tcPr>
            <w:tcW w:w="709" w:type="dxa"/>
          </w:tcPr>
          <w:p w:rsidR="00782044" w:rsidRPr="00C45F17" w:rsidRDefault="00411DF9" w:rsidP="00782044">
            <w:pPr>
              <w:pStyle w:val="NTGTableText"/>
              <w:spacing w:before="60" w:after="60"/>
            </w:pPr>
            <w:r>
              <w:fldChar w:fldCharType="begin">
                <w:ffData>
                  <w:name w:val="PerformMgmt2"/>
                  <w:enabled/>
                  <w:calcOnExit w:val="0"/>
                  <w:statusText w:type="text" w:val="Preformance management: Response times"/>
                  <w:checkBox>
                    <w:sizeAuto/>
                    <w:default w:val="0"/>
                  </w:checkBox>
                </w:ffData>
              </w:fldChar>
            </w:r>
            <w:bookmarkStart w:id="224" w:name="PerformMgmt2"/>
            <w:r>
              <w:instrText xml:space="preserve"> FORMCHECKBOX </w:instrText>
            </w:r>
            <w:r w:rsidR="00B43C6B">
              <w:fldChar w:fldCharType="separate"/>
            </w:r>
            <w:r>
              <w:fldChar w:fldCharType="end"/>
            </w:r>
            <w:bookmarkEnd w:id="224"/>
          </w:p>
        </w:tc>
      </w:tr>
      <w:tr w:rsidR="00782044" w:rsidTr="00782044">
        <w:trPr>
          <w:cantSplit/>
        </w:trPr>
        <w:tc>
          <w:tcPr>
            <w:tcW w:w="9209" w:type="dxa"/>
            <w:gridSpan w:val="2"/>
          </w:tcPr>
          <w:p w:rsidR="00782044" w:rsidRPr="001E1B0E" w:rsidRDefault="00782044" w:rsidP="00782044">
            <w:pPr>
              <w:pStyle w:val="NTGTableText"/>
              <w:spacing w:before="60" w:after="60"/>
            </w:pPr>
            <w:r w:rsidRPr="00C45F17">
              <w:t xml:space="preserve">Flexibility of service </w:t>
            </w:r>
          </w:p>
        </w:tc>
        <w:tc>
          <w:tcPr>
            <w:tcW w:w="709" w:type="dxa"/>
          </w:tcPr>
          <w:p w:rsidR="00782044" w:rsidRPr="00C45F17" w:rsidRDefault="00411DF9" w:rsidP="00782044">
            <w:pPr>
              <w:pStyle w:val="NTGTableText"/>
              <w:spacing w:before="60" w:after="60"/>
            </w:pPr>
            <w:r>
              <w:fldChar w:fldCharType="begin">
                <w:ffData>
                  <w:name w:val="PerformMgmt3"/>
                  <w:enabled/>
                  <w:calcOnExit w:val="0"/>
                  <w:statusText w:type="text" w:val="Preformance management: Flexibility of service"/>
                  <w:checkBox>
                    <w:sizeAuto/>
                    <w:default w:val="0"/>
                  </w:checkBox>
                </w:ffData>
              </w:fldChar>
            </w:r>
            <w:bookmarkStart w:id="225" w:name="PerformMgmt3"/>
            <w:r>
              <w:instrText xml:space="preserve"> FORMCHECKBOX </w:instrText>
            </w:r>
            <w:r w:rsidR="00B43C6B">
              <w:fldChar w:fldCharType="separate"/>
            </w:r>
            <w:r>
              <w:fldChar w:fldCharType="end"/>
            </w:r>
            <w:bookmarkEnd w:id="225"/>
          </w:p>
        </w:tc>
      </w:tr>
      <w:tr w:rsidR="00782044" w:rsidTr="00782044">
        <w:trPr>
          <w:cantSplit/>
        </w:trPr>
        <w:tc>
          <w:tcPr>
            <w:tcW w:w="9209" w:type="dxa"/>
            <w:gridSpan w:val="2"/>
          </w:tcPr>
          <w:p w:rsidR="00782044" w:rsidRPr="001E1B0E" w:rsidRDefault="00782044" w:rsidP="00782044">
            <w:pPr>
              <w:pStyle w:val="NTGTableText"/>
              <w:spacing w:before="60" w:after="60"/>
            </w:pPr>
            <w:r w:rsidRPr="00C45F17">
              <w:t xml:space="preserve">Business continuity and disaster recovery </w:t>
            </w:r>
          </w:p>
        </w:tc>
        <w:tc>
          <w:tcPr>
            <w:tcW w:w="709" w:type="dxa"/>
          </w:tcPr>
          <w:p w:rsidR="00782044" w:rsidRPr="00C45F17" w:rsidRDefault="00411DF9" w:rsidP="00782044">
            <w:pPr>
              <w:pStyle w:val="NTGTableText"/>
              <w:spacing w:before="60" w:after="60"/>
            </w:pPr>
            <w:r>
              <w:fldChar w:fldCharType="begin">
                <w:ffData>
                  <w:name w:val="PerformMgmt4"/>
                  <w:enabled/>
                  <w:calcOnExit w:val="0"/>
                  <w:statusText w:type="text" w:val="Preformance management: Business continuity and disaster recovery"/>
                  <w:checkBox>
                    <w:sizeAuto/>
                    <w:default w:val="0"/>
                  </w:checkBox>
                </w:ffData>
              </w:fldChar>
            </w:r>
            <w:bookmarkStart w:id="226" w:name="PerformMgmt4"/>
            <w:r>
              <w:instrText xml:space="preserve"> FORMCHECKBOX </w:instrText>
            </w:r>
            <w:r w:rsidR="00B43C6B">
              <w:fldChar w:fldCharType="separate"/>
            </w:r>
            <w:r>
              <w:fldChar w:fldCharType="end"/>
            </w:r>
            <w:bookmarkEnd w:id="226"/>
          </w:p>
        </w:tc>
      </w:tr>
      <w:tr w:rsidR="00782044" w:rsidRPr="009D5820" w:rsidTr="00782044">
        <w:trPr>
          <w:cantSplit/>
        </w:trPr>
        <w:tc>
          <w:tcPr>
            <w:tcW w:w="9918" w:type="dxa"/>
            <w:gridSpan w:val="3"/>
            <w:shd w:val="clear" w:color="auto" w:fill="D9D9D9" w:themeFill="background1" w:themeFillShade="D9"/>
          </w:tcPr>
          <w:p w:rsidR="00782044" w:rsidRPr="00782044" w:rsidRDefault="00782044" w:rsidP="00411DF9">
            <w:pPr>
              <w:pStyle w:val="NTGTableText"/>
              <w:spacing w:before="60" w:after="60"/>
              <w:rPr>
                <w:rFonts w:cs="Arial"/>
                <w:b/>
              </w:rPr>
            </w:pPr>
            <w:r w:rsidRPr="00782044">
              <w:rPr>
                <w:rFonts w:cs="Arial"/>
                <w:b/>
              </w:rPr>
              <w:t>Ending the agreement</w:t>
            </w:r>
            <w:r w:rsidR="00411DF9">
              <w:rPr>
                <w:rStyle w:val="NTGHiddenAccessiblityFieldsChar"/>
              </w:rPr>
              <w:fldChar w:fldCharType="begin">
                <w:ffData>
                  <w:name w:val="EndTheAgreement"/>
                  <w:enabled/>
                  <w:calcOnExit w:val="0"/>
                  <w:statusText w:type="text" w:val="Ending the agreement"/>
                  <w:checkBox>
                    <w:sizeAuto/>
                    <w:default w:val="0"/>
                  </w:checkBox>
                </w:ffData>
              </w:fldChar>
            </w:r>
            <w:bookmarkStart w:id="227" w:name="EndTheAgreement"/>
            <w:r w:rsidR="00411DF9">
              <w:rPr>
                <w:rStyle w:val="NTGHiddenAccessiblityFieldsChar"/>
              </w:rPr>
              <w:instrText xml:space="preserve"> FORMCHECKBOX </w:instrText>
            </w:r>
            <w:r w:rsidR="00B43C6B">
              <w:rPr>
                <w:rStyle w:val="NTGHiddenAccessiblityFieldsChar"/>
              </w:rPr>
            </w:r>
            <w:r w:rsidR="00B43C6B">
              <w:rPr>
                <w:rStyle w:val="NTGHiddenAccessiblityFieldsChar"/>
              </w:rPr>
              <w:fldChar w:fldCharType="separate"/>
            </w:r>
            <w:r w:rsidR="00411DF9">
              <w:rPr>
                <w:rStyle w:val="NTGHiddenAccessiblityFieldsChar"/>
              </w:rPr>
              <w:fldChar w:fldCharType="end"/>
            </w:r>
            <w:bookmarkEnd w:id="227"/>
          </w:p>
        </w:tc>
      </w:tr>
      <w:tr w:rsidR="00782044" w:rsidTr="00782044">
        <w:trPr>
          <w:cantSplit/>
        </w:trPr>
        <w:tc>
          <w:tcPr>
            <w:tcW w:w="9209" w:type="dxa"/>
            <w:gridSpan w:val="2"/>
          </w:tcPr>
          <w:p w:rsidR="00782044" w:rsidRPr="005C67F3" w:rsidRDefault="00782044" w:rsidP="00782044">
            <w:pPr>
              <w:pStyle w:val="NTGTableText"/>
              <w:spacing w:before="60" w:after="60"/>
            </w:pPr>
            <w:r>
              <w:t>Termination rights</w:t>
            </w:r>
          </w:p>
        </w:tc>
        <w:tc>
          <w:tcPr>
            <w:tcW w:w="709" w:type="dxa"/>
          </w:tcPr>
          <w:p w:rsidR="00782044" w:rsidRDefault="00411DF9" w:rsidP="00782044">
            <w:pPr>
              <w:pStyle w:val="NTGTableText"/>
              <w:spacing w:before="60" w:after="60"/>
            </w:pPr>
            <w:r>
              <w:fldChar w:fldCharType="begin">
                <w:ffData>
                  <w:name w:val="EndAgreement1"/>
                  <w:enabled/>
                  <w:calcOnExit w:val="0"/>
                  <w:statusText w:type="text" w:val="Ending the agreement: termination rights"/>
                  <w:checkBox>
                    <w:sizeAuto/>
                    <w:default w:val="0"/>
                  </w:checkBox>
                </w:ffData>
              </w:fldChar>
            </w:r>
            <w:bookmarkStart w:id="228" w:name="EndAgreement1"/>
            <w:r>
              <w:instrText xml:space="preserve"> FORMCHECKBOX </w:instrText>
            </w:r>
            <w:r w:rsidR="00B43C6B">
              <w:fldChar w:fldCharType="separate"/>
            </w:r>
            <w:r>
              <w:fldChar w:fldCharType="end"/>
            </w:r>
            <w:bookmarkEnd w:id="228"/>
          </w:p>
        </w:tc>
      </w:tr>
      <w:tr w:rsidR="00782044" w:rsidTr="00782044">
        <w:trPr>
          <w:cantSplit/>
        </w:trPr>
        <w:tc>
          <w:tcPr>
            <w:tcW w:w="9209" w:type="dxa"/>
            <w:gridSpan w:val="2"/>
          </w:tcPr>
          <w:p w:rsidR="00782044" w:rsidRPr="005C67F3" w:rsidRDefault="00782044" w:rsidP="00782044">
            <w:pPr>
              <w:pStyle w:val="NTGTableText"/>
              <w:spacing w:before="60" w:after="60"/>
            </w:pPr>
            <w:r>
              <w:t>Disengagement/transition-out procedures</w:t>
            </w:r>
          </w:p>
        </w:tc>
        <w:tc>
          <w:tcPr>
            <w:tcW w:w="709" w:type="dxa"/>
          </w:tcPr>
          <w:p w:rsidR="00782044" w:rsidRDefault="00411DF9" w:rsidP="00782044">
            <w:pPr>
              <w:pStyle w:val="NTGTableText"/>
              <w:spacing w:before="60" w:after="60"/>
            </w:pPr>
            <w:r>
              <w:fldChar w:fldCharType="begin">
                <w:ffData>
                  <w:name w:val="EndAgreement2"/>
                  <w:enabled/>
                  <w:calcOnExit w:val="0"/>
                  <w:statusText w:type="text" w:val="Ending the agreement: Disengagement/transition-out procedures"/>
                  <w:checkBox>
                    <w:sizeAuto/>
                    <w:default w:val="0"/>
                  </w:checkBox>
                </w:ffData>
              </w:fldChar>
            </w:r>
            <w:bookmarkStart w:id="229" w:name="EndAgreement2"/>
            <w:r>
              <w:instrText xml:space="preserve"> FORMCHECKBOX </w:instrText>
            </w:r>
            <w:r w:rsidR="00B43C6B">
              <w:fldChar w:fldCharType="separate"/>
            </w:r>
            <w:r>
              <w:fldChar w:fldCharType="end"/>
            </w:r>
            <w:bookmarkEnd w:id="229"/>
          </w:p>
        </w:tc>
      </w:tr>
      <w:tr w:rsidR="00782044" w:rsidRPr="009D5820" w:rsidTr="00782044">
        <w:trPr>
          <w:cantSplit/>
        </w:trPr>
        <w:tc>
          <w:tcPr>
            <w:tcW w:w="9918" w:type="dxa"/>
            <w:gridSpan w:val="3"/>
            <w:shd w:val="clear" w:color="auto" w:fill="D9D9D9" w:themeFill="background1" w:themeFillShade="D9"/>
          </w:tcPr>
          <w:p w:rsidR="00782044" w:rsidRPr="00782044" w:rsidRDefault="00782044" w:rsidP="00411DF9">
            <w:pPr>
              <w:pStyle w:val="NTGTableText"/>
              <w:spacing w:before="60" w:after="60"/>
              <w:rPr>
                <w:rFonts w:cs="Arial"/>
                <w:b/>
              </w:rPr>
            </w:pPr>
            <w:r w:rsidRPr="00782044">
              <w:rPr>
                <w:rFonts w:cs="Arial"/>
                <w:b/>
              </w:rPr>
              <w:t>Other legal issues</w:t>
            </w:r>
            <w:r w:rsidR="00411DF9">
              <w:rPr>
                <w:rStyle w:val="NTGHiddenAccessiblityFieldsChar"/>
              </w:rPr>
              <w:fldChar w:fldCharType="begin">
                <w:ffData>
                  <w:name w:val="LegalIssues"/>
                  <w:enabled/>
                  <w:calcOnExit w:val="0"/>
                  <w:statusText w:type="text" w:val="Other legal issues"/>
                  <w:checkBox>
                    <w:sizeAuto/>
                    <w:default w:val="0"/>
                  </w:checkBox>
                </w:ffData>
              </w:fldChar>
            </w:r>
            <w:bookmarkStart w:id="230" w:name="LegalIssues"/>
            <w:r w:rsidR="00411DF9">
              <w:rPr>
                <w:rStyle w:val="NTGHiddenAccessiblityFieldsChar"/>
              </w:rPr>
              <w:instrText xml:space="preserve"> FORMCHECKBOX </w:instrText>
            </w:r>
            <w:r w:rsidR="00B43C6B">
              <w:rPr>
                <w:rStyle w:val="NTGHiddenAccessiblityFieldsChar"/>
              </w:rPr>
            </w:r>
            <w:r w:rsidR="00B43C6B">
              <w:rPr>
                <w:rStyle w:val="NTGHiddenAccessiblityFieldsChar"/>
              </w:rPr>
              <w:fldChar w:fldCharType="separate"/>
            </w:r>
            <w:r w:rsidR="00411DF9">
              <w:rPr>
                <w:rStyle w:val="NTGHiddenAccessiblityFieldsChar"/>
              </w:rPr>
              <w:fldChar w:fldCharType="end"/>
            </w:r>
            <w:bookmarkEnd w:id="230"/>
          </w:p>
        </w:tc>
      </w:tr>
      <w:tr w:rsidR="00782044" w:rsidTr="00782044">
        <w:trPr>
          <w:cantSplit/>
        </w:trPr>
        <w:tc>
          <w:tcPr>
            <w:tcW w:w="9209" w:type="dxa"/>
            <w:gridSpan w:val="2"/>
          </w:tcPr>
          <w:p w:rsidR="00782044" w:rsidRDefault="00782044" w:rsidP="00782044">
            <w:pPr>
              <w:pStyle w:val="NTGTableText"/>
              <w:spacing w:before="60" w:after="60"/>
            </w:pPr>
            <w:r>
              <w:t>Dispute resolution/choice of law</w:t>
            </w:r>
          </w:p>
        </w:tc>
        <w:tc>
          <w:tcPr>
            <w:tcW w:w="709" w:type="dxa"/>
          </w:tcPr>
          <w:p w:rsidR="00782044" w:rsidRDefault="00411DF9" w:rsidP="00782044">
            <w:pPr>
              <w:pStyle w:val="NTGTableText"/>
              <w:spacing w:before="60" w:after="60"/>
            </w:pPr>
            <w:r>
              <w:fldChar w:fldCharType="begin">
                <w:ffData>
                  <w:name w:val="LegalIssues1"/>
                  <w:enabled/>
                  <w:calcOnExit w:val="0"/>
                  <w:statusText w:type="text" w:val="Other legal issues: Dispute resolution/choice of law"/>
                  <w:checkBox>
                    <w:sizeAuto/>
                    <w:default w:val="0"/>
                  </w:checkBox>
                </w:ffData>
              </w:fldChar>
            </w:r>
            <w:bookmarkStart w:id="231" w:name="LegalIssues1"/>
            <w:r>
              <w:instrText xml:space="preserve"> FORMCHECKBOX </w:instrText>
            </w:r>
            <w:r w:rsidR="00B43C6B">
              <w:fldChar w:fldCharType="separate"/>
            </w:r>
            <w:r>
              <w:fldChar w:fldCharType="end"/>
            </w:r>
            <w:bookmarkEnd w:id="231"/>
          </w:p>
        </w:tc>
      </w:tr>
      <w:tr w:rsidR="00782044" w:rsidTr="00782044">
        <w:trPr>
          <w:cantSplit/>
        </w:trPr>
        <w:tc>
          <w:tcPr>
            <w:tcW w:w="9209" w:type="dxa"/>
            <w:gridSpan w:val="2"/>
          </w:tcPr>
          <w:p w:rsidR="00782044" w:rsidRPr="005C67F3" w:rsidRDefault="00782044" w:rsidP="00782044">
            <w:pPr>
              <w:pStyle w:val="NTGTableText"/>
              <w:spacing w:before="60" w:after="60"/>
            </w:pPr>
            <w:r>
              <w:t>Costs detailed</w:t>
            </w:r>
          </w:p>
        </w:tc>
        <w:tc>
          <w:tcPr>
            <w:tcW w:w="709" w:type="dxa"/>
          </w:tcPr>
          <w:p w:rsidR="00782044" w:rsidRDefault="00411DF9" w:rsidP="00782044">
            <w:pPr>
              <w:pStyle w:val="NTGTableText"/>
              <w:spacing w:before="60" w:after="60"/>
            </w:pPr>
            <w:r>
              <w:fldChar w:fldCharType="begin">
                <w:ffData>
                  <w:name w:val="LegalIssues2"/>
                  <w:enabled/>
                  <w:calcOnExit w:val="0"/>
                  <w:statusText w:type="text" w:val="Other legal issues: Costs detailed"/>
                  <w:checkBox>
                    <w:sizeAuto/>
                    <w:default w:val="0"/>
                  </w:checkBox>
                </w:ffData>
              </w:fldChar>
            </w:r>
            <w:bookmarkStart w:id="232" w:name="LegalIssues2"/>
            <w:r>
              <w:instrText xml:space="preserve"> FORMCHECKBOX </w:instrText>
            </w:r>
            <w:r w:rsidR="00B43C6B">
              <w:fldChar w:fldCharType="separate"/>
            </w:r>
            <w:r>
              <w:fldChar w:fldCharType="end"/>
            </w:r>
            <w:bookmarkEnd w:id="232"/>
          </w:p>
        </w:tc>
      </w:tr>
      <w:tr w:rsidR="00782044" w:rsidTr="00782044">
        <w:trPr>
          <w:cantSplit/>
        </w:trPr>
        <w:tc>
          <w:tcPr>
            <w:tcW w:w="9209" w:type="dxa"/>
            <w:gridSpan w:val="2"/>
          </w:tcPr>
          <w:p w:rsidR="00782044" w:rsidRDefault="00782044" w:rsidP="00782044">
            <w:pPr>
              <w:pStyle w:val="NTGTableText"/>
              <w:spacing w:before="60" w:after="60"/>
            </w:pPr>
            <w:r>
              <w:t>Change of control</w:t>
            </w:r>
          </w:p>
        </w:tc>
        <w:tc>
          <w:tcPr>
            <w:tcW w:w="709" w:type="dxa"/>
          </w:tcPr>
          <w:p w:rsidR="00782044" w:rsidRDefault="00411DF9" w:rsidP="00782044">
            <w:pPr>
              <w:pStyle w:val="NTGTableText"/>
              <w:spacing w:before="60" w:after="60"/>
            </w:pPr>
            <w:r>
              <w:fldChar w:fldCharType="begin">
                <w:ffData>
                  <w:name w:val="LegalIssues3"/>
                  <w:enabled/>
                  <w:calcOnExit w:val="0"/>
                  <w:statusText w:type="text" w:val="Other legal issues: Change of control"/>
                  <w:checkBox>
                    <w:sizeAuto/>
                    <w:default w:val="0"/>
                  </w:checkBox>
                </w:ffData>
              </w:fldChar>
            </w:r>
            <w:bookmarkStart w:id="233" w:name="LegalIssues3"/>
            <w:r>
              <w:instrText xml:space="preserve"> FORMCHECKBOX </w:instrText>
            </w:r>
            <w:r w:rsidR="00B43C6B">
              <w:fldChar w:fldCharType="separate"/>
            </w:r>
            <w:r>
              <w:fldChar w:fldCharType="end"/>
            </w:r>
            <w:bookmarkEnd w:id="233"/>
          </w:p>
        </w:tc>
      </w:tr>
      <w:tr w:rsidR="00782044" w:rsidTr="00782044">
        <w:trPr>
          <w:cantSplit/>
        </w:trPr>
        <w:tc>
          <w:tcPr>
            <w:tcW w:w="9209" w:type="dxa"/>
            <w:gridSpan w:val="2"/>
          </w:tcPr>
          <w:p w:rsidR="00782044" w:rsidRDefault="00782044" w:rsidP="00782044">
            <w:pPr>
              <w:pStyle w:val="NTGTableText"/>
              <w:spacing w:before="60" w:after="60"/>
            </w:pPr>
            <w:r>
              <w:t>Unilateral change of contract terms</w:t>
            </w:r>
          </w:p>
        </w:tc>
        <w:tc>
          <w:tcPr>
            <w:tcW w:w="709" w:type="dxa"/>
          </w:tcPr>
          <w:p w:rsidR="00782044" w:rsidRDefault="00411DF9" w:rsidP="00782044">
            <w:pPr>
              <w:pStyle w:val="NTGTableText"/>
              <w:spacing w:before="60" w:after="60"/>
            </w:pPr>
            <w:r>
              <w:fldChar w:fldCharType="begin">
                <w:ffData>
                  <w:name w:val="LegalIssues4"/>
                  <w:enabled/>
                  <w:calcOnExit w:val="0"/>
                  <w:statusText w:type="text" w:val="Other legal issues: Unilateral change of contract terms"/>
                  <w:checkBox>
                    <w:sizeAuto/>
                    <w:default w:val="0"/>
                  </w:checkBox>
                </w:ffData>
              </w:fldChar>
            </w:r>
            <w:bookmarkStart w:id="234" w:name="LegalIssues4"/>
            <w:r>
              <w:instrText xml:space="preserve"> FORMCHECKBOX </w:instrText>
            </w:r>
            <w:r w:rsidR="00B43C6B">
              <w:fldChar w:fldCharType="separate"/>
            </w:r>
            <w:r>
              <w:fldChar w:fldCharType="end"/>
            </w:r>
            <w:bookmarkEnd w:id="234"/>
          </w:p>
        </w:tc>
      </w:tr>
      <w:tr w:rsidR="00782044" w:rsidRPr="009D5820" w:rsidTr="00782044">
        <w:trPr>
          <w:cantSplit/>
        </w:trPr>
        <w:tc>
          <w:tcPr>
            <w:tcW w:w="9918" w:type="dxa"/>
            <w:gridSpan w:val="3"/>
            <w:shd w:val="clear" w:color="auto" w:fill="D9D9D9" w:themeFill="background1" w:themeFillShade="D9"/>
          </w:tcPr>
          <w:p w:rsidR="00782044" w:rsidRPr="00782044" w:rsidRDefault="00782044" w:rsidP="00411DF9">
            <w:pPr>
              <w:pStyle w:val="NTGTableText"/>
              <w:spacing w:before="60" w:after="60"/>
              <w:rPr>
                <w:rFonts w:cs="Arial"/>
                <w:b/>
              </w:rPr>
            </w:pPr>
            <w:r w:rsidRPr="00782044">
              <w:rPr>
                <w:rFonts w:cs="Arial"/>
                <w:b/>
              </w:rPr>
              <w:t>Third parties</w:t>
            </w:r>
            <w:r w:rsidR="00411DF9">
              <w:rPr>
                <w:rStyle w:val="NTGHiddenAccessiblityFieldsChar"/>
              </w:rPr>
              <w:fldChar w:fldCharType="begin">
                <w:ffData>
                  <w:name w:val="ThirdParties"/>
                  <w:enabled/>
                  <w:calcOnExit w:val="0"/>
                  <w:statusText w:type="text" w:val="Third parties"/>
                  <w:checkBox>
                    <w:sizeAuto/>
                    <w:default w:val="0"/>
                  </w:checkBox>
                </w:ffData>
              </w:fldChar>
            </w:r>
            <w:bookmarkStart w:id="235" w:name="ThirdParties"/>
            <w:r w:rsidR="00411DF9">
              <w:rPr>
                <w:rStyle w:val="NTGHiddenAccessiblityFieldsChar"/>
              </w:rPr>
              <w:instrText xml:space="preserve"> FORMCHECKBOX </w:instrText>
            </w:r>
            <w:r w:rsidR="00B43C6B">
              <w:rPr>
                <w:rStyle w:val="NTGHiddenAccessiblityFieldsChar"/>
              </w:rPr>
            </w:r>
            <w:r w:rsidR="00B43C6B">
              <w:rPr>
                <w:rStyle w:val="NTGHiddenAccessiblityFieldsChar"/>
              </w:rPr>
              <w:fldChar w:fldCharType="separate"/>
            </w:r>
            <w:r w:rsidR="00411DF9">
              <w:rPr>
                <w:rStyle w:val="NTGHiddenAccessiblityFieldsChar"/>
              </w:rPr>
              <w:fldChar w:fldCharType="end"/>
            </w:r>
            <w:bookmarkEnd w:id="235"/>
          </w:p>
        </w:tc>
      </w:tr>
      <w:tr w:rsidR="00782044" w:rsidTr="00782044">
        <w:trPr>
          <w:cantSplit/>
        </w:trPr>
        <w:tc>
          <w:tcPr>
            <w:tcW w:w="9209" w:type="dxa"/>
            <w:gridSpan w:val="2"/>
          </w:tcPr>
          <w:p w:rsidR="00782044" w:rsidRDefault="00782044" w:rsidP="00782044">
            <w:pPr>
              <w:pStyle w:val="NTGTableText"/>
              <w:spacing w:before="60" w:after="60"/>
            </w:pPr>
            <w:r>
              <w:t>Acceptance by key stakeholders</w:t>
            </w:r>
          </w:p>
        </w:tc>
        <w:tc>
          <w:tcPr>
            <w:tcW w:w="709" w:type="dxa"/>
          </w:tcPr>
          <w:p w:rsidR="00782044" w:rsidRDefault="00411DF9" w:rsidP="00782044">
            <w:pPr>
              <w:pStyle w:val="NTGTableText"/>
              <w:spacing w:before="60" w:after="60"/>
            </w:pPr>
            <w:r>
              <w:fldChar w:fldCharType="begin">
                <w:ffData>
                  <w:name w:val="ThirdParties1"/>
                  <w:enabled/>
                  <w:calcOnExit w:val="0"/>
                  <w:statusText w:type="text" w:val="Third parties: Acceptance by key stakeholders"/>
                  <w:checkBox>
                    <w:sizeAuto/>
                    <w:default w:val="0"/>
                  </w:checkBox>
                </w:ffData>
              </w:fldChar>
            </w:r>
            <w:bookmarkStart w:id="236" w:name="ThirdParties1"/>
            <w:r>
              <w:instrText xml:space="preserve"> FORMCHECKBOX </w:instrText>
            </w:r>
            <w:r w:rsidR="00B43C6B">
              <w:fldChar w:fldCharType="separate"/>
            </w:r>
            <w:r>
              <w:fldChar w:fldCharType="end"/>
            </w:r>
            <w:bookmarkEnd w:id="236"/>
          </w:p>
        </w:tc>
      </w:tr>
      <w:tr w:rsidR="00782044" w:rsidTr="00782044">
        <w:trPr>
          <w:cantSplit/>
        </w:trPr>
        <w:tc>
          <w:tcPr>
            <w:tcW w:w="9209" w:type="dxa"/>
            <w:gridSpan w:val="2"/>
          </w:tcPr>
          <w:p w:rsidR="00782044" w:rsidRDefault="00782044" w:rsidP="00782044">
            <w:pPr>
              <w:pStyle w:val="NTGTableText"/>
              <w:spacing w:before="60" w:after="60"/>
            </w:pPr>
            <w:r>
              <w:t>Community comfort/reputational risk</w:t>
            </w:r>
          </w:p>
        </w:tc>
        <w:tc>
          <w:tcPr>
            <w:tcW w:w="709" w:type="dxa"/>
          </w:tcPr>
          <w:p w:rsidR="00782044" w:rsidRDefault="00411DF9" w:rsidP="00411DF9">
            <w:pPr>
              <w:pStyle w:val="NTGTableText"/>
              <w:spacing w:before="60" w:after="60"/>
            </w:pPr>
            <w:r>
              <w:fldChar w:fldCharType="begin">
                <w:ffData>
                  <w:name w:val="ThirdParties2"/>
                  <w:enabled/>
                  <w:calcOnExit w:val="0"/>
                  <w:statusText w:type="text" w:val="Third parties: Community comfort/reputational risk"/>
                  <w:checkBox>
                    <w:sizeAuto/>
                    <w:default w:val="0"/>
                  </w:checkBox>
                </w:ffData>
              </w:fldChar>
            </w:r>
            <w:bookmarkStart w:id="237" w:name="ThirdParties2"/>
            <w:r>
              <w:instrText xml:space="preserve"> FORMCHECKBOX </w:instrText>
            </w:r>
            <w:r w:rsidR="00B43C6B">
              <w:fldChar w:fldCharType="separate"/>
            </w:r>
            <w:r>
              <w:fldChar w:fldCharType="end"/>
            </w:r>
            <w:bookmarkEnd w:id="237"/>
            <w:r>
              <w:rPr>
                <w:rStyle w:val="NTGHiddenAccessiblityFieldsChar"/>
              </w:rPr>
              <w:fldChar w:fldCharType="begin">
                <w:ffData>
                  <w:name w:val="EndOfTheForm"/>
                  <w:enabled/>
                  <w:calcOnExit w:val="0"/>
                  <w:statusText w:type="text" w:val="End of the form"/>
                  <w:checkBox>
                    <w:sizeAuto/>
                    <w:default w:val="0"/>
                  </w:checkBox>
                </w:ffData>
              </w:fldChar>
            </w:r>
            <w:bookmarkStart w:id="238" w:name="EndOfTheForm"/>
            <w:r>
              <w:rPr>
                <w:rStyle w:val="NTGHiddenAccessiblityFieldsChar"/>
              </w:rPr>
              <w:instrText xml:space="preserve"> FORMCHECKBOX </w:instrText>
            </w:r>
            <w:r w:rsidR="00B43C6B">
              <w:rPr>
                <w:rStyle w:val="NTGHiddenAccessiblityFieldsChar"/>
              </w:rPr>
            </w:r>
            <w:r w:rsidR="00B43C6B">
              <w:rPr>
                <w:rStyle w:val="NTGHiddenAccessiblityFieldsChar"/>
              </w:rPr>
              <w:fldChar w:fldCharType="separate"/>
            </w:r>
            <w:r>
              <w:rPr>
                <w:rStyle w:val="NTGHiddenAccessiblityFieldsChar"/>
              </w:rPr>
              <w:fldChar w:fldCharType="end"/>
            </w:r>
            <w:bookmarkEnd w:id="238"/>
          </w:p>
        </w:tc>
      </w:tr>
    </w:tbl>
    <w:p w:rsidR="0049621A" w:rsidRDefault="0049621A">
      <w:pPr>
        <w:spacing w:after="0"/>
        <w:rPr>
          <w:rFonts w:eastAsiaTheme="minorEastAsia"/>
          <w:iCs/>
        </w:rPr>
      </w:pPr>
      <w:r>
        <w:br w:type="page"/>
      </w:r>
    </w:p>
    <w:p w:rsidR="0049621A" w:rsidRDefault="00B70CA7" w:rsidP="0069742C">
      <w:pPr>
        <w:pStyle w:val="Appendix"/>
        <w:spacing w:before="0" w:after="0"/>
      </w:pPr>
      <w:bookmarkStart w:id="239" w:name="_Toc489364427"/>
      <w:r>
        <w:lastRenderedPageBreak/>
        <w:t>Appendix </w:t>
      </w:r>
      <w:r w:rsidR="0049621A">
        <w:t>B</w:t>
      </w:r>
      <w:r w:rsidR="001516EC">
        <w:t>:</w:t>
      </w:r>
      <w:r w:rsidR="0049621A">
        <w:t xml:space="preserve"> </w:t>
      </w:r>
      <w:r w:rsidR="0049621A" w:rsidRPr="00672201">
        <w:t>Flowchart</w:t>
      </w:r>
      <w:bookmarkEnd w:id="239"/>
    </w:p>
    <w:p w:rsidR="0049621A" w:rsidRPr="0049621A" w:rsidRDefault="0069742C" w:rsidP="00672201">
      <w:r>
        <w:object w:dxaOrig="10575" w:dyaOrig="16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695.25pt" o:ole="">
            <v:imagedata r:id="rId15" o:title=""/>
          </v:shape>
          <o:OLEObject Type="Embed" ProgID="Visio.Drawing.15" ShapeID="_x0000_i1025" DrawAspect="Content" ObjectID="_1567492038" r:id="rId16"/>
        </w:object>
      </w:r>
    </w:p>
    <w:p w:rsidR="001516EC" w:rsidRDefault="00B70CA7" w:rsidP="00672201">
      <w:pPr>
        <w:pStyle w:val="Appendix"/>
      </w:pPr>
      <w:bookmarkStart w:id="240" w:name="_Toc489364428"/>
      <w:r>
        <w:lastRenderedPageBreak/>
        <w:t>Appendix </w:t>
      </w:r>
      <w:r w:rsidR="001516EC">
        <w:t xml:space="preserve">C: </w:t>
      </w:r>
      <w:r w:rsidR="001516EC" w:rsidRPr="00672201">
        <w:t>Flowchart</w:t>
      </w:r>
      <w:r w:rsidR="001516EC">
        <w:t xml:space="preserve"> (as text)</w:t>
      </w:r>
      <w:bookmarkEnd w:id="240"/>
    </w:p>
    <w:p w:rsidR="001516EC" w:rsidRPr="00672201" w:rsidRDefault="006307BC" w:rsidP="006307BC">
      <w:pPr>
        <w:spacing w:after="120"/>
        <w:rPr>
          <w:b/>
          <w:sz w:val="28"/>
          <w:szCs w:val="28"/>
        </w:rPr>
      </w:pPr>
      <w:bookmarkStart w:id="241" w:name="_Toc454534829"/>
      <w:bookmarkStart w:id="242" w:name="_Toc474493634"/>
      <w:r>
        <w:rPr>
          <w:b/>
          <w:sz w:val="28"/>
          <w:szCs w:val="28"/>
        </w:rPr>
        <w:t>Step </w:t>
      </w:r>
      <w:r w:rsidR="001516EC" w:rsidRPr="00672201">
        <w:rPr>
          <w:b/>
          <w:sz w:val="28"/>
          <w:szCs w:val="28"/>
        </w:rPr>
        <w:t>1</w:t>
      </w:r>
      <w:bookmarkEnd w:id="241"/>
      <w:bookmarkEnd w:id="242"/>
    </w:p>
    <w:p w:rsidR="001516EC" w:rsidRPr="00775676" w:rsidRDefault="001516EC" w:rsidP="006307BC">
      <w:pPr>
        <w:pStyle w:val="NTGTableBulletList1"/>
      </w:pPr>
      <w:r>
        <w:t>Consider</w:t>
      </w:r>
      <w:r w:rsidRPr="00775676">
        <w:t xml:space="preserve"> </w:t>
      </w:r>
      <w:r>
        <w:t>the re-use or sharing of an existing</w:t>
      </w:r>
      <w:r w:rsidRPr="00775676">
        <w:t xml:space="preserve"> </w:t>
      </w:r>
      <w:r>
        <w:t xml:space="preserve">solution, </w:t>
      </w:r>
      <w:r w:rsidRPr="00775676">
        <w:t>including the NTG cloud service.</w:t>
      </w:r>
    </w:p>
    <w:p w:rsidR="00B70CA7" w:rsidRDefault="001516EC" w:rsidP="006307BC">
      <w:pPr>
        <w:pStyle w:val="NTGTableBulletList1"/>
      </w:pPr>
      <w:r w:rsidRPr="00775676">
        <w:t>Explore the</w:t>
      </w:r>
      <w:r>
        <w:t xml:space="preserve"> external c</w:t>
      </w:r>
      <w:r w:rsidRPr="00775676">
        <w:t>loud as one option for your project</w:t>
      </w:r>
      <w:r>
        <w:t xml:space="preserve"> if no existing or internal solution is acceptable</w:t>
      </w:r>
      <w:r w:rsidRPr="00775676">
        <w:t>.</w:t>
      </w:r>
    </w:p>
    <w:p w:rsidR="001516EC" w:rsidRPr="00672201" w:rsidRDefault="006307BC" w:rsidP="006307BC">
      <w:pPr>
        <w:spacing w:before="240" w:after="120"/>
        <w:rPr>
          <w:b/>
          <w:sz w:val="28"/>
          <w:szCs w:val="28"/>
        </w:rPr>
      </w:pPr>
      <w:bookmarkStart w:id="243" w:name="_Toc454534830"/>
      <w:bookmarkStart w:id="244" w:name="_Toc474493635"/>
      <w:r>
        <w:rPr>
          <w:b/>
          <w:sz w:val="28"/>
          <w:szCs w:val="28"/>
        </w:rPr>
        <w:t>Step </w:t>
      </w:r>
      <w:r w:rsidR="001516EC" w:rsidRPr="00672201">
        <w:rPr>
          <w:b/>
          <w:sz w:val="28"/>
          <w:szCs w:val="28"/>
        </w:rPr>
        <w:t>2</w:t>
      </w:r>
      <w:bookmarkEnd w:id="243"/>
      <w:bookmarkEnd w:id="244"/>
    </w:p>
    <w:p w:rsidR="001516EC" w:rsidRPr="00775676" w:rsidRDefault="001516EC" w:rsidP="006307BC">
      <w:pPr>
        <w:pStyle w:val="NTGTableBulletList1"/>
      </w:pPr>
      <w:r w:rsidRPr="00775676">
        <w:t xml:space="preserve">Read and adhere to </w:t>
      </w:r>
      <w:r w:rsidR="00182B7A">
        <w:t xml:space="preserve">the </w:t>
      </w:r>
      <w:r w:rsidR="00182B7A">
        <w:rPr>
          <w:b/>
        </w:rPr>
        <w:t>Cloud computing p</w:t>
      </w:r>
      <w:r w:rsidRPr="00182B7A">
        <w:rPr>
          <w:b/>
        </w:rPr>
        <w:t xml:space="preserve">olicy and </w:t>
      </w:r>
      <w:r w:rsidR="00182B7A">
        <w:rPr>
          <w:b/>
        </w:rPr>
        <w:t>s</w:t>
      </w:r>
      <w:r w:rsidRPr="00182B7A">
        <w:rPr>
          <w:b/>
        </w:rPr>
        <w:t>tandard</w:t>
      </w:r>
      <w:r w:rsidR="006307BC">
        <w:t>.</w:t>
      </w:r>
    </w:p>
    <w:p w:rsidR="001516EC" w:rsidRPr="00775676" w:rsidRDefault="001516EC" w:rsidP="006307BC">
      <w:pPr>
        <w:pStyle w:val="NTGTableBulletList1"/>
      </w:pPr>
      <w:r w:rsidRPr="00775676">
        <w:t>Read all reference material</w:t>
      </w:r>
      <w:r w:rsidR="006307BC">
        <w:t>.</w:t>
      </w:r>
    </w:p>
    <w:p w:rsidR="001516EC" w:rsidRPr="0064718D" w:rsidRDefault="001516EC">
      <w:pPr>
        <w:spacing w:after="0"/>
        <w:rPr>
          <w:b/>
        </w:rPr>
      </w:pPr>
      <w:r w:rsidRPr="0064718D">
        <w:rPr>
          <w:b/>
        </w:rPr>
        <w:t>Notes:</w:t>
      </w:r>
    </w:p>
    <w:p w:rsidR="001516EC" w:rsidRPr="00775676" w:rsidRDefault="001516EC" w:rsidP="006307BC">
      <w:pPr>
        <w:pStyle w:val="NTGTableBulletList1"/>
      </w:pPr>
      <w:r>
        <w:t>The</w:t>
      </w:r>
      <w:r w:rsidRPr="00775676">
        <w:t xml:space="preserve"> </w:t>
      </w:r>
      <w:r w:rsidR="00182B7A">
        <w:rPr>
          <w:b/>
        </w:rPr>
        <w:t>Cloud computing p</w:t>
      </w:r>
      <w:r w:rsidR="00E34BFA" w:rsidRPr="00182B7A">
        <w:rPr>
          <w:b/>
        </w:rPr>
        <w:t xml:space="preserve">olicy </w:t>
      </w:r>
      <w:r w:rsidRPr="00182B7A">
        <w:rPr>
          <w:b/>
        </w:rPr>
        <w:t xml:space="preserve">and </w:t>
      </w:r>
      <w:r w:rsidR="00182B7A">
        <w:rPr>
          <w:b/>
        </w:rPr>
        <w:t>s</w:t>
      </w:r>
      <w:r w:rsidR="00E34BFA" w:rsidRPr="00182B7A">
        <w:rPr>
          <w:b/>
        </w:rPr>
        <w:t>tandard</w:t>
      </w:r>
      <w:r w:rsidR="00E34BFA" w:rsidRPr="00E34BFA">
        <w:rPr>
          <w:i/>
        </w:rPr>
        <w:t xml:space="preserve"> </w:t>
      </w:r>
      <w:r w:rsidR="00530693">
        <w:t>are</w:t>
      </w:r>
      <w:r w:rsidRPr="00775676">
        <w:t xml:space="preserve"> mandatory document</w:t>
      </w:r>
      <w:r w:rsidR="00530693">
        <w:t>s</w:t>
      </w:r>
      <w:r w:rsidRPr="00775676">
        <w:t xml:space="preserve"> for all NTG </w:t>
      </w:r>
      <w:r w:rsidR="0027218A">
        <w:t>agenc</w:t>
      </w:r>
      <w:r w:rsidRPr="00775676">
        <w:t>ies</w:t>
      </w:r>
      <w:r w:rsidR="00182B7A">
        <w:t>, as per Treasurer’s d</w:t>
      </w:r>
      <w:r>
        <w:t>irections</w:t>
      </w:r>
      <w:r w:rsidR="00182B7A">
        <w:t xml:space="preserve"> ICT1-2 ICT p</w:t>
      </w:r>
      <w:r w:rsidRPr="00775676">
        <w:t xml:space="preserve">olicies and </w:t>
      </w:r>
      <w:r w:rsidR="00182B7A">
        <w:t>s</w:t>
      </w:r>
      <w:r w:rsidRPr="00775676">
        <w:t>tandards.</w:t>
      </w:r>
    </w:p>
    <w:p w:rsidR="001516EC" w:rsidRPr="00672201" w:rsidRDefault="006307BC" w:rsidP="006307BC">
      <w:pPr>
        <w:spacing w:before="240" w:after="120"/>
        <w:rPr>
          <w:b/>
          <w:sz w:val="28"/>
          <w:szCs w:val="28"/>
        </w:rPr>
      </w:pPr>
      <w:bookmarkStart w:id="245" w:name="_Toc454534831"/>
      <w:bookmarkStart w:id="246" w:name="_Toc474493636"/>
      <w:r>
        <w:rPr>
          <w:b/>
          <w:sz w:val="28"/>
          <w:szCs w:val="28"/>
        </w:rPr>
        <w:t>Step </w:t>
      </w:r>
      <w:r w:rsidR="001516EC" w:rsidRPr="00672201">
        <w:rPr>
          <w:b/>
          <w:sz w:val="28"/>
          <w:szCs w:val="28"/>
        </w:rPr>
        <w:t>3</w:t>
      </w:r>
      <w:bookmarkEnd w:id="245"/>
      <w:bookmarkEnd w:id="246"/>
    </w:p>
    <w:p w:rsidR="001516EC" w:rsidRPr="00656B32" w:rsidRDefault="001516EC">
      <w:r w:rsidRPr="00656B32">
        <w:t>Must undergo a privacy assessment by:</w:t>
      </w:r>
    </w:p>
    <w:p w:rsidR="001516EC" w:rsidRPr="00775676" w:rsidRDefault="006307BC" w:rsidP="006307BC">
      <w:pPr>
        <w:pStyle w:val="NTGTableBulletList1"/>
      </w:pPr>
      <w:r>
        <w:t>s</w:t>
      </w:r>
      <w:r w:rsidR="001516EC" w:rsidRPr="00775676">
        <w:t>eeking legal advice</w:t>
      </w:r>
    </w:p>
    <w:p w:rsidR="001516EC" w:rsidRPr="00775676" w:rsidRDefault="006307BC" w:rsidP="006307BC">
      <w:pPr>
        <w:pStyle w:val="NTGTableBulletList1"/>
      </w:pPr>
      <w:proofErr w:type="gramStart"/>
      <w:r>
        <w:t>s</w:t>
      </w:r>
      <w:r w:rsidR="001516EC" w:rsidRPr="00775676">
        <w:t>atisfying</w:t>
      </w:r>
      <w:proofErr w:type="gramEnd"/>
      <w:r w:rsidR="001516EC" w:rsidRPr="00775676">
        <w:t xml:space="preserve"> the requirements stated in the </w:t>
      </w:r>
      <w:r>
        <w:t>s</w:t>
      </w:r>
      <w:r w:rsidR="001516EC" w:rsidRPr="00775676">
        <w:t>tandard</w:t>
      </w:r>
      <w:r>
        <w:t>.</w:t>
      </w:r>
    </w:p>
    <w:p w:rsidR="001516EC" w:rsidRDefault="001516EC">
      <w:r w:rsidRPr="0064718D">
        <w:rPr>
          <w:b/>
        </w:rPr>
        <w:t>Notes:</w:t>
      </w:r>
      <w:r>
        <w:t xml:space="preserve"> The privacy test was written in accordance with the </w:t>
      </w:r>
      <w:r w:rsidRPr="0064718D">
        <w:rPr>
          <w:i/>
        </w:rPr>
        <w:t>Information Act</w:t>
      </w:r>
      <w:r>
        <w:t>.</w:t>
      </w:r>
    </w:p>
    <w:p w:rsidR="001516EC" w:rsidRPr="001516EC" w:rsidRDefault="001516EC" w:rsidP="006307BC">
      <w:bookmarkStart w:id="247" w:name="_Toc454534832"/>
      <w:bookmarkStart w:id="248" w:name="_Toc474493637"/>
      <w:r w:rsidRPr="006307BC">
        <w:rPr>
          <w:b/>
        </w:rPr>
        <w:t>Question:</w:t>
      </w:r>
      <w:r w:rsidRPr="001516EC">
        <w:t xml:space="preserve"> Pass </w:t>
      </w:r>
      <w:r w:rsidR="00182B7A">
        <w:t>p</w:t>
      </w:r>
      <w:r w:rsidRPr="001516EC">
        <w:t xml:space="preserve">rivacy </w:t>
      </w:r>
      <w:r w:rsidR="00182B7A">
        <w:t>r</w:t>
      </w:r>
      <w:r w:rsidRPr="001516EC">
        <w:t>equirements?</w:t>
      </w:r>
      <w:bookmarkEnd w:id="247"/>
      <w:bookmarkEnd w:id="248"/>
    </w:p>
    <w:p w:rsidR="00B70CA7" w:rsidRDefault="001516EC" w:rsidP="009D5820">
      <w:pPr>
        <w:pStyle w:val="NTGTableBulletList1"/>
      </w:pPr>
      <w:bookmarkStart w:id="249" w:name="_Toc454534833"/>
      <w:bookmarkStart w:id="250" w:name="_Toc474493638"/>
      <w:r w:rsidRPr="006307BC">
        <w:t>If answer is no</w:t>
      </w:r>
      <w:bookmarkEnd w:id="249"/>
      <w:bookmarkEnd w:id="250"/>
      <w:r w:rsidR="006307BC">
        <w:t xml:space="preserve">: </w:t>
      </w:r>
      <w:r w:rsidRPr="006307BC">
        <w:t>End of flowchart</w:t>
      </w:r>
      <w:r w:rsidR="0027218A" w:rsidRPr="006307BC">
        <w:t xml:space="preserve"> – </w:t>
      </w:r>
      <w:r w:rsidRPr="006307BC">
        <w:t xml:space="preserve">The cloud solution does not adhere to the </w:t>
      </w:r>
      <w:r w:rsidRPr="006307BC">
        <w:rPr>
          <w:i/>
        </w:rPr>
        <w:t>Information Act</w:t>
      </w:r>
      <w:r w:rsidRPr="006307BC">
        <w:t>. Two options:</w:t>
      </w:r>
    </w:p>
    <w:p w:rsidR="001516EC" w:rsidRPr="006307BC" w:rsidRDefault="006307BC" w:rsidP="006307BC">
      <w:pPr>
        <w:pStyle w:val="NTGTableBulletList2"/>
      </w:pPr>
      <w:r w:rsidRPr="006307BC">
        <w:t>e</w:t>
      </w:r>
      <w:r w:rsidR="001516EC" w:rsidRPr="006307BC">
        <w:t>xplore NTG cloud service solution</w:t>
      </w:r>
    </w:p>
    <w:p w:rsidR="001516EC" w:rsidRPr="006307BC" w:rsidRDefault="006307BC" w:rsidP="006307BC">
      <w:pPr>
        <w:pStyle w:val="NTGTableBulletList2"/>
      </w:pPr>
      <w:proofErr w:type="gramStart"/>
      <w:r w:rsidRPr="006307BC">
        <w:t>e</w:t>
      </w:r>
      <w:r w:rsidR="001516EC" w:rsidRPr="006307BC">
        <w:t>xplore</w:t>
      </w:r>
      <w:proofErr w:type="gramEnd"/>
      <w:r w:rsidR="001516EC" w:rsidRPr="006307BC">
        <w:t xml:space="preserve"> other software options</w:t>
      </w:r>
      <w:r w:rsidRPr="006307BC">
        <w:t>.</w:t>
      </w:r>
    </w:p>
    <w:p w:rsidR="001516EC" w:rsidRPr="006307BC" w:rsidRDefault="001516EC" w:rsidP="009D5820">
      <w:pPr>
        <w:pStyle w:val="NTGTableBulletList1"/>
      </w:pPr>
      <w:bookmarkStart w:id="251" w:name="_Toc454534834"/>
      <w:bookmarkStart w:id="252" w:name="_Toc474493639"/>
      <w:r w:rsidRPr="006307BC">
        <w:t>If answer is yes</w:t>
      </w:r>
      <w:bookmarkEnd w:id="251"/>
      <w:bookmarkEnd w:id="252"/>
      <w:r w:rsidR="006307BC">
        <w:t xml:space="preserve">: </w:t>
      </w:r>
      <w:r w:rsidRPr="006307BC">
        <w:t xml:space="preserve">Continue to </w:t>
      </w:r>
      <w:r w:rsidR="006307BC">
        <w:t>step </w:t>
      </w:r>
      <w:r w:rsidRPr="006307BC">
        <w:t>4.</w:t>
      </w:r>
    </w:p>
    <w:p w:rsidR="001516EC" w:rsidRPr="00672201" w:rsidRDefault="006307BC" w:rsidP="006307BC">
      <w:pPr>
        <w:spacing w:before="240" w:after="120"/>
        <w:rPr>
          <w:b/>
          <w:sz w:val="28"/>
          <w:szCs w:val="28"/>
        </w:rPr>
      </w:pPr>
      <w:bookmarkStart w:id="253" w:name="_Toc454534835"/>
      <w:bookmarkStart w:id="254" w:name="_Toc474493640"/>
      <w:r>
        <w:rPr>
          <w:b/>
          <w:sz w:val="28"/>
          <w:szCs w:val="28"/>
        </w:rPr>
        <w:t>Step </w:t>
      </w:r>
      <w:r w:rsidR="001516EC" w:rsidRPr="00672201">
        <w:rPr>
          <w:b/>
          <w:sz w:val="28"/>
          <w:szCs w:val="28"/>
        </w:rPr>
        <w:t>4</w:t>
      </w:r>
      <w:bookmarkEnd w:id="253"/>
      <w:bookmarkEnd w:id="254"/>
    </w:p>
    <w:p w:rsidR="001516EC" w:rsidRDefault="001516EC">
      <w:r>
        <w:t>Must undergo a security assessment by:</w:t>
      </w:r>
    </w:p>
    <w:p w:rsidR="001516EC" w:rsidRPr="00775676" w:rsidRDefault="001516EC" w:rsidP="006307BC">
      <w:pPr>
        <w:pStyle w:val="NTGTableBulletList1"/>
      </w:pPr>
      <w:r w:rsidRPr="00775676">
        <w:t>seeking advice from NTG Security team (</w:t>
      </w:r>
      <w:hyperlink r:id="rId17" w:history="1">
        <w:r w:rsidRPr="00775676">
          <w:t>ictsecurity.ntg@nt.gov.au</w:t>
        </w:r>
      </w:hyperlink>
      <w:r w:rsidRPr="00775676">
        <w:t>)</w:t>
      </w:r>
    </w:p>
    <w:p w:rsidR="001516EC" w:rsidRPr="00775676" w:rsidRDefault="001516EC" w:rsidP="006307BC">
      <w:pPr>
        <w:pStyle w:val="NTGTableBulletList1"/>
      </w:pPr>
      <w:r w:rsidRPr="00775676">
        <w:t>gaining access to the contractor’s security policy and regulations</w:t>
      </w:r>
    </w:p>
    <w:p w:rsidR="001516EC" w:rsidRPr="00775676" w:rsidRDefault="006307BC" w:rsidP="006307BC">
      <w:pPr>
        <w:pStyle w:val="NTGTableBulletList1"/>
      </w:pPr>
      <w:proofErr w:type="gramStart"/>
      <w:r>
        <w:t>s</w:t>
      </w:r>
      <w:r w:rsidR="001516EC">
        <w:t>atisfying</w:t>
      </w:r>
      <w:proofErr w:type="gramEnd"/>
      <w:r w:rsidR="001516EC">
        <w:t xml:space="preserve"> the requirements </w:t>
      </w:r>
      <w:r>
        <w:t>stated in the s</w:t>
      </w:r>
      <w:r w:rsidR="001516EC" w:rsidRPr="00775676">
        <w:t>tandard</w:t>
      </w:r>
      <w:r>
        <w:t>.</w:t>
      </w:r>
    </w:p>
    <w:p w:rsidR="001516EC" w:rsidRPr="001516EC" w:rsidRDefault="001516EC" w:rsidP="006307BC">
      <w:bookmarkStart w:id="255" w:name="_Toc454534836"/>
      <w:bookmarkStart w:id="256" w:name="_Toc474493641"/>
      <w:r w:rsidRPr="006307BC">
        <w:rPr>
          <w:b/>
        </w:rPr>
        <w:t>Question:</w:t>
      </w:r>
      <w:r w:rsidR="00182B7A">
        <w:t xml:space="preserve"> Pass s</w:t>
      </w:r>
      <w:r w:rsidRPr="001516EC">
        <w:t>ecurity requirements?</w:t>
      </w:r>
      <w:bookmarkEnd w:id="255"/>
      <w:bookmarkEnd w:id="256"/>
    </w:p>
    <w:p w:rsidR="00B70CA7" w:rsidRDefault="001516EC" w:rsidP="006307BC">
      <w:pPr>
        <w:pStyle w:val="NTGTableBulletList1"/>
      </w:pPr>
      <w:bookmarkStart w:id="257" w:name="_Toc454534837"/>
      <w:bookmarkStart w:id="258" w:name="_Toc474493642"/>
      <w:r w:rsidRPr="006307BC">
        <w:t xml:space="preserve">If answer is </w:t>
      </w:r>
      <w:r w:rsidRPr="006307BC">
        <w:rPr>
          <w:b/>
        </w:rPr>
        <w:t>no</w:t>
      </w:r>
      <w:r w:rsidRPr="006307BC">
        <w:t>:</w:t>
      </w:r>
      <w:bookmarkEnd w:id="257"/>
      <w:bookmarkEnd w:id="258"/>
      <w:r w:rsidR="006307BC">
        <w:t xml:space="preserve"> </w:t>
      </w:r>
      <w:r w:rsidRPr="006307BC">
        <w:t>End of flowchart. Two options:</w:t>
      </w:r>
    </w:p>
    <w:p w:rsidR="001516EC" w:rsidRPr="00775676" w:rsidRDefault="006307BC" w:rsidP="006307BC">
      <w:pPr>
        <w:pStyle w:val="NTGTableBulletList2"/>
      </w:pPr>
      <w:r>
        <w:t>e</w:t>
      </w:r>
      <w:r w:rsidR="001516EC" w:rsidRPr="00775676">
        <w:t>xplore NTG cloud service solution</w:t>
      </w:r>
    </w:p>
    <w:p w:rsidR="001516EC" w:rsidRPr="00775676" w:rsidRDefault="006307BC" w:rsidP="006307BC">
      <w:pPr>
        <w:pStyle w:val="NTGTableBulletList2"/>
      </w:pPr>
      <w:proofErr w:type="gramStart"/>
      <w:r>
        <w:t>e</w:t>
      </w:r>
      <w:r w:rsidR="001516EC" w:rsidRPr="00775676">
        <w:t>xplore</w:t>
      </w:r>
      <w:proofErr w:type="gramEnd"/>
      <w:r w:rsidR="001516EC" w:rsidRPr="00775676">
        <w:t xml:space="preserve"> other software options</w:t>
      </w:r>
      <w:r>
        <w:t>.</w:t>
      </w:r>
    </w:p>
    <w:p w:rsidR="001516EC" w:rsidRPr="006307BC" w:rsidRDefault="001516EC" w:rsidP="006307BC">
      <w:pPr>
        <w:pStyle w:val="NTGTableBulletList1"/>
      </w:pPr>
      <w:bookmarkStart w:id="259" w:name="_Toc454534838"/>
      <w:bookmarkStart w:id="260" w:name="_Toc474493643"/>
      <w:r w:rsidRPr="006307BC">
        <w:t>I</w:t>
      </w:r>
      <w:r w:rsidR="006307BC" w:rsidRPr="006307BC">
        <w:t>f a</w:t>
      </w:r>
      <w:r w:rsidRPr="006307BC">
        <w:t xml:space="preserve">nswer is </w:t>
      </w:r>
      <w:r w:rsidRPr="006307BC">
        <w:rPr>
          <w:b/>
        </w:rPr>
        <w:t>yes</w:t>
      </w:r>
      <w:r w:rsidRPr="006307BC">
        <w:t>:</w:t>
      </w:r>
      <w:bookmarkEnd w:id="259"/>
      <w:bookmarkEnd w:id="260"/>
      <w:r w:rsidR="006307BC" w:rsidRPr="006307BC">
        <w:t xml:space="preserve"> </w:t>
      </w:r>
      <w:r w:rsidRPr="006307BC">
        <w:t xml:space="preserve">Continue to </w:t>
      </w:r>
      <w:r w:rsidR="006307BC">
        <w:t>step </w:t>
      </w:r>
      <w:r w:rsidRPr="006307BC">
        <w:t>5.</w:t>
      </w:r>
    </w:p>
    <w:p w:rsidR="006307BC" w:rsidRDefault="006307BC" w:rsidP="006307BC">
      <w:pPr>
        <w:spacing w:before="240" w:after="120"/>
        <w:ind w:left="1276" w:hanging="1276"/>
        <w:rPr>
          <w:b/>
          <w:sz w:val="28"/>
          <w:szCs w:val="28"/>
        </w:rPr>
      </w:pPr>
      <w:bookmarkStart w:id="261" w:name="_Toc454534839"/>
      <w:bookmarkStart w:id="262" w:name="_Toc474493644"/>
      <w:r>
        <w:rPr>
          <w:b/>
          <w:sz w:val="28"/>
          <w:szCs w:val="28"/>
        </w:rPr>
        <w:lastRenderedPageBreak/>
        <w:t>Step </w:t>
      </w:r>
      <w:r w:rsidR="001516EC" w:rsidRPr="00672201">
        <w:rPr>
          <w:b/>
          <w:sz w:val="28"/>
          <w:szCs w:val="28"/>
        </w:rPr>
        <w:t>5</w:t>
      </w:r>
      <w:bookmarkEnd w:id="261"/>
      <w:bookmarkEnd w:id="262"/>
    </w:p>
    <w:p w:rsidR="001516EC" w:rsidRPr="00672201" w:rsidRDefault="00182B7A" w:rsidP="006307BC">
      <w:r>
        <w:t>Assess v</w:t>
      </w:r>
      <w:r w:rsidR="001516EC" w:rsidRPr="00672201">
        <w:t xml:space="preserve">alue for </w:t>
      </w:r>
      <w:r>
        <w:t>m</w:t>
      </w:r>
      <w:r w:rsidR="001516EC" w:rsidRPr="00672201">
        <w:t>oney</w:t>
      </w:r>
      <w:r w:rsidR="006307BC">
        <w:t>.</w:t>
      </w:r>
    </w:p>
    <w:p w:rsidR="001516EC" w:rsidRPr="001516EC" w:rsidRDefault="001516EC" w:rsidP="006307BC">
      <w:bookmarkStart w:id="263" w:name="_Toc454534840"/>
      <w:bookmarkStart w:id="264" w:name="_Toc474493645"/>
      <w:r w:rsidRPr="006307BC">
        <w:rPr>
          <w:b/>
        </w:rPr>
        <w:t>Question:</w:t>
      </w:r>
      <w:r w:rsidR="006307BC">
        <w:tab/>
      </w:r>
      <w:r w:rsidR="00182B7A">
        <w:t>Pass value for m</w:t>
      </w:r>
      <w:r w:rsidRPr="001516EC">
        <w:t>oney test?</w:t>
      </w:r>
      <w:bookmarkEnd w:id="263"/>
      <w:bookmarkEnd w:id="264"/>
    </w:p>
    <w:p w:rsidR="00B70CA7" w:rsidRDefault="001516EC" w:rsidP="006307BC">
      <w:pPr>
        <w:pStyle w:val="NTGTableBulletList1"/>
      </w:pPr>
      <w:bookmarkStart w:id="265" w:name="_Toc454534841"/>
      <w:bookmarkStart w:id="266" w:name="_Toc474493646"/>
      <w:r w:rsidRPr="001516EC">
        <w:t xml:space="preserve">If answer is </w:t>
      </w:r>
      <w:r w:rsidRPr="006307BC">
        <w:rPr>
          <w:b/>
        </w:rPr>
        <w:t>no</w:t>
      </w:r>
      <w:r w:rsidRPr="001516EC">
        <w:t>:</w:t>
      </w:r>
      <w:bookmarkEnd w:id="265"/>
      <w:bookmarkEnd w:id="266"/>
      <w:r w:rsidR="006307BC">
        <w:t xml:space="preserve"> </w:t>
      </w:r>
      <w:r w:rsidRPr="00775676">
        <w:t>End of flowchart. Two options:</w:t>
      </w:r>
    </w:p>
    <w:p w:rsidR="006307BC" w:rsidRPr="00775676" w:rsidRDefault="006307BC" w:rsidP="006307BC">
      <w:pPr>
        <w:pStyle w:val="NTGTableBulletList2"/>
      </w:pPr>
      <w:bookmarkStart w:id="267" w:name="_Toc454534842"/>
      <w:bookmarkStart w:id="268" w:name="_Toc474493647"/>
      <w:r>
        <w:t>e</w:t>
      </w:r>
      <w:r w:rsidRPr="00775676">
        <w:t xml:space="preserve">xplore NTG cloud service solution </w:t>
      </w:r>
      <w:r>
        <w:t>or</w:t>
      </w:r>
    </w:p>
    <w:p w:rsidR="006307BC" w:rsidRPr="00775676" w:rsidRDefault="006307BC" w:rsidP="006307BC">
      <w:pPr>
        <w:pStyle w:val="NTGTableBulletList2"/>
      </w:pPr>
      <w:proofErr w:type="gramStart"/>
      <w:r>
        <w:t>e</w:t>
      </w:r>
      <w:r w:rsidRPr="00775676">
        <w:t>xplore</w:t>
      </w:r>
      <w:proofErr w:type="gramEnd"/>
      <w:r w:rsidRPr="00775676">
        <w:t xml:space="preserve"> other software options</w:t>
      </w:r>
      <w:r>
        <w:t>.</w:t>
      </w:r>
    </w:p>
    <w:p w:rsidR="001516EC" w:rsidRPr="006307BC" w:rsidRDefault="001516EC" w:rsidP="006307BC">
      <w:pPr>
        <w:pStyle w:val="NTGTableBulletList1"/>
      </w:pPr>
      <w:r w:rsidRPr="006307BC">
        <w:t xml:space="preserve">If answer is </w:t>
      </w:r>
      <w:r w:rsidRPr="006307BC">
        <w:rPr>
          <w:b/>
        </w:rPr>
        <w:t>yes</w:t>
      </w:r>
      <w:r w:rsidRPr="006307BC">
        <w:t>:</w:t>
      </w:r>
      <w:bookmarkEnd w:id="267"/>
      <w:bookmarkEnd w:id="268"/>
      <w:r w:rsidR="006307BC">
        <w:t xml:space="preserve"> C</w:t>
      </w:r>
      <w:r w:rsidRPr="006307BC">
        <w:t xml:space="preserve">ontinue to </w:t>
      </w:r>
      <w:r w:rsidR="006307BC">
        <w:t>step </w:t>
      </w:r>
      <w:r w:rsidRPr="006307BC">
        <w:t>6.</w:t>
      </w:r>
    </w:p>
    <w:p w:rsidR="006307BC" w:rsidRDefault="006307BC" w:rsidP="006307BC">
      <w:pPr>
        <w:spacing w:before="240" w:after="120"/>
        <w:ind w:left="1134" w:hanging="1134"/>
        <w:rPr>
          <w:b/>
          <w:sz w:val="28"/>
          <w:szCs w:val="28"/>
        </w:rPr>
      </w:pPr>
      <w:bookmarkStart w:id="269" w:name="_Toc454534843"/>
      <w:bookmarkStart w:id="270" w:name="_Toc474493648"/>
      <w:r>
        <w:rPr>
          <w:b/>
          <w:sz w:val="28"/>
          <w:szCs w:val="28"/>
        </w:rPr>
        <w:t>Step </w:t>
      </w:r>
      <w:r w:rsidR="001516EC" w:rsidRPr="00672201">
        <w:rPr>
          <w:b/>
          <w:sz w:val="28"/>
          <w:szCs w:val="28"/>
        </w:rPr>
        <w:t>6</w:t>
      </w:r>
      <w:bookmarkEnd w:id="269"/>
      <w:bookmarkEnd w:id="270"/>
    </w:p>
    <w:p w:rsidR="001516EC" w:rsidRPr="00672201" w:rsidRDefault="001516EC" w:rsidP="006307BC">
      <w:r w:rsidRPr="00672201">
        <w:t>Implement risk mitigation strategies.</w:t>
      </w:r>
    </w:p>
    <w:p w:rsidR="001516EC" w:rsidRPr="001516EC" w:rsidRDefault="001516EC" w:rsidP="006307BC">
      <w:bookmarkStart w:id="271" w:name="_Toc454534844"/>
      <w:bookmarkStart w:id="272" w:name="_Toc474493649"/>
      <w:r w:rsidRPr="00672201">
        <w:rPr>
          <w:b/>
        </w:rPr>
        <w:t>Question:</w:t>
      </w:r>
      <w:r w:rsidR="00672201">
        <w:rPr>
          <w:b/>
        </w:rPr>
        <w:tab/>
      </w:r>
      <w:r w:rsidRPr="001516EC">
        <w:t>Can the risks be adequately mitigated?</w:t>
      </w:r>
      <w:bookmarkEnd w:id="271"/>
      <w:bookmarkEnd w:id="272"/>
    </w:p>
    <w:p w:rsidR="00B70CA7" w:rsidRDefault="001516EC" w:rsidP="006307BC">
      <w:pPr>
        <w:pStyle w:val="NTGTableBulletList1"/>
      </w:pPr>
      <w:bookmarkStart w:id="273" w:name="_Toc454534845"/>
      <w:bookmarkStart w:id="274" w:name="_Toc474493650"/>
      <w:r w:rsidRPr="006307BC">
        <w:t xml:space="preserve">If answer is </w:t>
      </w:r>
      <w:r w:rsidRPr="006307BC">
        <w:rPr>
          <w:b/>
        </w:rPr>
        <w:t>no</w:t>
      </w:r>
      <w:r w:rsidRPr="006307BC">
        <w:t>:</w:t>
      </w:r>
      <w:bookmarkEnd w:id="273"/>
      <w:bookmarkEnd w:id="274"/>
      <w:r w:rsidR="006307BC">
        <w:t xml:space="preserve"> </w:t>
      </w:r>
      <w:r w:rsidRPr="006307BC">
        <w:t>End of flowchart. Two options:</w:t>
      </w:r>
    </w:p>
    <w:p w:rsidR="001516EC" w:rsidRPr="00775676" w:rsidRDefault="006307BC" w:rsidP="006307BC">
      <w:pPr>
        <w:pStyle w:val="NTGTableBulletList2"/>
      </w:pPr>
      <w:r>
        <w:t>e</w:t>
      </w:r>
      <w:r w:rsidR="001516EC" w:rsidRPr="00775676">
        <w:t xml:space="preserve">xplore NTG cloud service solution </w:t>
      </w:r>
      <w:r>
        <w:t>or</w:t>
      </w:r>
    </w:p>
    <w:p w:rsidR="001516EC" w:rsidRPr="00775676" w:rsidRDefault="006307BC" w:rsidP="006307BC">
      <w:pPr>
        <w:pStyle w:val="NTGTableBulletList2"/>
      </w:pPr>
      <w:proofErr w:type="gramStart"/>
      <w:r>
        <w:t>e</w:t>
      </w:r>
      <w:r w:rsidR="001516EC" w:rsidRPr="00775676">
        <w:t>xplore</w:t>
      </w:r>
      <w:proofErr w:type="gramEnd"/>
      <w:r w:rsidR="001516EC" w:rsidRPr="00775676">
        <w:t xml:space="preserve"> other software options</w:t>
      </w:r>
      <w:r>
        <w:t>.</w:t>
      </w:r>
    </w:p>
    <w:p w:rsidR="001516EC" w:rsidRPr="00656B32" w:rsidRDefault="001516EC" w:rsidP="006307BC">
      <w:pPr>
        <w:pStyle w:val="NTGTableBulletList1"/>
      </w:pPr>
      <w:bookmarkStart w:id="275" w:name="_Toc454534846"/>
      <w:bookmarkStart w:id="276" w:name="_Toc474493651"/>
      <w:r w:rsidRPr="006307BC">
        <w:t xml:space="preserve">If answer is </w:t>
      </w:r>
      <w:r w:rsidRPr="006307BC">
        <w:rPr>
          <w:b/>
        </w:rPr>
        <w:t>yes</w:t>
      </w:r>
      <w:r w:rsidRPr="006307BC">
        <w:t>:</w:t>
      </w:r>
      <w:bookmarkEnd w:id="275"/>
      <w:bookmarkEnd w:id="276"/>
      <w:r w:rsidR="006307BC">
        <w:t xml:space="preserve"> Continue to step </w:t>
      </w:r>
      <w:r w:rsidRPr="00656B32">
        <w:t>7.</w:t>
      </w:r>
    </w:p>
    <w:p w:rsidR="001516EC" w:rsidRPr="00672201" w:rsidRDefault="006307BC" w:rsidP="006307BC">
      <w:pPr>
        <w:spacing w:before="240" w:after="120"/>
        <w:rPr>
          <w:b/>
          <w:sz w:val="28"/>
          <w:szCs w:val="28"/>
        </w:rPr>
      </w:pPr>
      <w:bookmarkStart w:id="277" w:name="_Toc454534847"/>
      <w:bookmarkStart w:id="278" w:name="_Toc474493652"/>
      <w:r>
        <w:rPr>
          <w:b/>
          <w:sz w:val="28"/>
          <w:szCs w:val="28"/>
        </w:rPr>
        <w:t>Step </w:t>
      </w:r>
      <w:r w:rsidR="001516EC" w:rsidRPr="00672201">
        <w:rPr>
          <w:b/>
          <w:sz w:val="28"/>
          <w:szCs w:val="28"/>
        </w:rPr>
        <w:t>7</w:t>
      </w:r>
      <w:bookmarkEnd w:id="277"/>
      <w:bookmarkEnd w:id="278"/>
    </w:p>
    <w:p w:rsidR="001516EC" w:rsidRPr="00656B32" w:rsidRDefault="001516EC">
      <w:r w:rsidRPr="00656B32">
        <w:t xml:space="preserve">Complete contractual requirements stated in the </w:t>
      </w:r>
      <w:r w:rsidR="00E34BFA">
        <w:t>standard</w:t>
      </w:r>
      <w:r w:rsidR="005E3A68">
        <w:t>.</w:t>
      </w:r>
      <w:r>
        <w:t xml:space="preserve"> </w:t>
      </w:r>
    </w:p>
    <w:p w:rsidR="001516EC" w:rsidRPr="00656B32" w:rsidRDefault="001516EC" w:rsidP="00672201">
      <w:pPr>
        <w:ind w:left="709" w:hanging="709"/>
      </w:pPr>
      <w:r w:rsidRPr="008D5C2D">
        <w:rPr>
          <w:b/>
        </w:rPr>
        <w:t>Note:</w:t>
      </w:r>
      <w:r w:rsidR="00672201">
        <w:rPr>
          <w:b/>
        </w:rPr>
        <w:tab/>
      </w:r>
      <w:r w:rsidRPr="00656B32">
        <w:t xml:space="preserve">All NTG data stored in the cloud must be accessible to the right people and secure </w:t>
      </w:r>
      <w:r>
        <w:t>d</w:t>
      </w:r>
      <w:r w:rsidRPr="00656B32">
        <w:t>uring the contract and when the contract has completed</w:t>
      </w:r>
    </w:p>
    <w:p w:rsidR="001516EC" w:rsidRPr="00672201" w:rsidRDefault="006307BC" w:rsidP="006307BC">
      <w:pPr>
        <w:spacing w:before="240" w:after="120"/>
        <w:rPr>
          <w:b/>
          <w:sz w:val="28"/>
          <w:szCs w:val="28"/>
        </w:rPr>
      </w:pPr>
      <w:bookmarkStart w:id="279" w:name="_Toc454534848"/>
      <w:bookmarkStart w:id="280" w:name="_Toc474493653"/>
      <w:r>
        <w:rPr>
          <w:b/>
          <w:sz w:val="28"/>
          <w:szCs w:val="28"/>
        </w:rPr>
        <w:t>Step </w:t>
      </w:r>
      <w:r w:rsidR="001516EC" w:rsidRPr="00672201">
        <w:rPr>
          <w:b/>
          <w:sz w:val="28"/>
          <w:szCs w:val="28"/>
        </w:rPr>
        <w:t>8</w:t>
      </w:r>
      <w:bookmarkEnd w:id="279"/>
      <w:bookmarkEnd w:id="280"/>
    </w:p>
    <w:p w:rsidR="001516EC" w:rsidRPr="00656B32" w:rsidRDefault="001516EC">
      <w:r w:rsidRPr="00656B32">
        <w:t>Agency</w:t>
      </w:r>
      <w:r w:rsidR="00B70CA7">
        <w:t xml:space="preserve"> chief executive</w:t>
      </w:r>
      <w:r w:rsidRPr="00656B32">
        <w:t xml:space="preserve"> sign</w:t>
      </w:r>
      <w:r>
        <w:t>s</w:t>
      </w:r>
      <w:r w:rsidRPr="00656B32">
        <w:t xml:space="preserve"> off on requirements stated in the </w:t>
      </w:r>
      <w:r w:rsidR="00E34BFA">
        <w:t>standard</w:t>
      </w:r>
      <w:r w:rsidRPr="00656B32">
        <w:t>.</w:t>
      </w:r>
    </w:p>
    <w:p w:rsidR="001516EC" w:rsidRPr="00656B32" w:rsidRDefault="001516EC" w:rsidP="00672201">
      <w:pPr>
        <w:ind w:left="709" w:hanging="709"/>
      </w:pPr>
      <w:r w:rsidRPr="00672201">
        <w:rPr>
          <w:b/>
        </w:rPr>
        <w:t>Note:</w:t>
      </w:r>
      <w:r w:rsidR="00672201">
        <w:tab/>
      </w:r>
      <w:r w:rsidRPr="00656B32">
        <w:t xml:space="preserve">The final discussion rests with the </w:t>
      </w:r>
      <w:r w:rsidR="0027218A">
        <w:t>agency</w:t>
      </w:r>
      <w:r w:rsidR="00B70CA7">
        <w:t xml:space="preserve"> chief executive</w:t>
      </w:r>
      <w:r w:rsidRPr="00656B32">
        <w:t xml:space="preserve"> as they are responsible for ensuring all aspects of the </w:t>
      </w:r>
      <w:r w:rsidR="00E34BFA" w:rsidRPr="00105433">
        <w:rPr>
          <w:b/>
        </w:rPr>
        <w:t>Cloud</w:t>
      </w:r>
      <w:r w:rsidR="00105433">
        <w:rPr>
          <w:b/>
        </w:rPr>
        <w:t xml:space="preserve"> c</w:t>
      </w:r>
      <w:r w:rsidR="00E34BFA" w:rsidRPr="00105433">
        <w:rPr>
          <w:b/>
        </w:rPr>
        <w:t xml:space="preserve">omputing </w:t>
      </w:r>
      <w:r w:rsidR="00105433">
        <w:rPr>
          <w:b/>
        </w:rPr>
        <w:t>p</w:t>
      </w:r>
      <w:r w:rsidR="00E34BFA" w:rsidRPr="00105433">
        <w:rPr>
          <w:b/>
        </w:rPr>
        <w:t>olicy</w:t>
      </w:r>
      <w:r w:rsidR="00E34BFA" w:rsidRPr="00E34BFA">
        <w:rPr>
          <w:i/>
        </w:rPr>
        <w:t xml:space="preserve"> </w:t>
      </w:r>
      <w:r>
        <w:t xml:space="preserve">and </w:t>
      </w:r>
      <w:r w:rsidR="00105433">
        <w:rPr>
          <w:b/>
        </w:rPr>
        <w:t>s</w:t>
      </w:r>
      <w:r w:rsidR="00E34BFA" w:rsidRPr="00105433">
        <w:rPr>
          <w:b/>
        </w:rPr>
        <w:t>tandard</w:t>
      </w:r>
      <w:r w:rsidR="00E34BFA" w:rsidRPr="00E34BFA">
        <w:rPr>
          <w:i/>
        </w:rPr>
        <w:t xml:space="preserve"> </w:t>
      </w:r>
      <w:r w:rsidRPr="00656B32">
        <w:t xml:space="preserve">are applied within their </w:t>
      </w:r>
      <w:r w:rsidR="0027218A">
        <w:t>agency</w:t>
      </w:r>
      <w:r w:rsidRPr="00656B32">
        <w:t>.</w:t>
      </w:r>
      <w:r>
        <w:t xml:space="preserve"> The</w:t>
      </w:r>
      <w:r w:rsidR="00B70CA7">
        <w:t xml:space="preserve"> chief executive</w:t>
      </w:r>
      <w:r w:rsidR="00105433">
        <w:t xml:space="preserve"> c</w:t>
      </w:r>
      <w:r>
        <w:t xml:space="preserve">hecklist in </w:t>
      </w:r>
      <w:r w:rsidR="00B70CA7">
        <w:t>Appendix A</w:t>
      </w:r>
      <w:r>
        <w:t xml:space="preserve"> can be used to assist in ensuring all aspects have been covered.</w:t>
      </w:r>
    </w:p>
    <w:p w:rsidR="001516EC" w:rsidRPr="00672201" w:rsidRDefault="006307BC" w:rsidP="006307BC">
      <w:pPr>
        <w:spacing w:before="240" w:after="120"/>
        <w:rPr>
          <w:b/>
          <w:sz w:val="28"/>
          <w:szCs w:val="28"/>
        </w:rPr>
      </w:pPr>
      <w:bookmarkStart w:id="281" w:name="_Toc454534849"/>
      <w:bookmarkStart w:id="282" w:name="_Toc474493654"/>
      <w:r>
        <w:rPr>
          <w:b/>
          <w:sz w:val="28"/>
          <w:szCs w:val="28"/>
        </w:rPr>
        <w:t>Step </w:t>
      </w:r>
      <w:r w:rsidR="001516EC" w:rsidRPr="00672201">
        <w:rPr>
          <w:b/>
          <w:sz w:val="28"/>
          <w:szCs w:val="28"/>
        </w:rPr>
        <w:t>9</w:t>
      </w:r>
      <w:bookmarkEnd w:id="281"/>
      <w:bookmarkEnd w:id="282"/>
    </w:p>
    <w:p w:rsidR="00672201" w:rsidRDefault="001516EC">
      <w:r>
        <w:t>Commenc</w:t>
      </w:r>
      <w:r w:rsidR="00672201">
        <w:t>e project initiation, including</w:t>
      </w:r>
      <w:r w:rsidR="006307BC">
        <w:t>:</w:t>
      </w:r>
    </w:p>
    <w:p w:rsidR="00672201" w:rsidRDefault="001516EC" w:rsidP="00672201">
      <w:pPr>
        <w:pStyle w:val="NTGTableBulletList1"/>
      </w:pPr>
      <w:r w:rsidRPr="009C059F">
        <w:t>Governance framework</w:t>
      </w:r>
    </w:p>
    <w:p w:rsidR="00672201" w:rsidRDefault="006307BC" w:rsidP="00672201">
      <w:pPr>
        <w:pStyle w:val="NTGTableBulletList1"/>
      </w:pPr>
      <w:r>
        <w:t>Business c</w:t>
      </w:r>
      <w:r w:rsidR="001516EC" w:rsidRPr="009C059F">
        <w:t>ase</w:t>
      </w:r>
    </w:p>
    <w:p w:rsidR="001516EC" w:rsidRDefault="001516EC" w:rsidP="00672201">
      <w:pPr>
        <w:pStyle w:val="NTGTableBulletList1"/>
      </w:pPr>
      <w:r w:rsidRPr="009C059F">
        <w:t>IGB project</w:t>
      </w:r>
      <w:r>
        <w:t xml:space="preserve"> approval process.</w:t>
      </w:r>
    </w:p>
    <w:p w:rsidR="001516EC" w:rsidRPr="00672201" w:rsidRDefault="006307BC" w:rsidP="006307BC">
      <w:pPr>
        <w:spacing w:before="240" w:after="120"/>
        <w:rPr>
          <w:b/>
          <w:sz w:val="28"/>
          <w:szCs w:val="28"/>
        </w:rPr>
      </w:pPr>
      <w:bookmarkStart w:id="283" w:name="_Toc454534850"/>
      <w:bookmarkStart w:id="284" w:name="_Toc474493655"/>
      <w:r>
        <w:rPr>
          <w:b/>
          <w:sz w:val="28"/>
          <w:szCs w:val="28"/>
        </w:rPr>
        <w:t>Step </w:t>
      </w:r>
      <w:r w:rsidR="001516EC" w:rsidRPr="00672201">
        <w:rPr>
          <w:b/>
          <w:sz w:val="28"/>
          <w:szCs w:val="28"/>
        </w:rPr>
        <w:t>10</w:t>
      </w:r>
      <w:bookmarkEnd w:id="283"/>
      <w:bookmarkEnd w:id="284"/>
    </w:p>
    <w:p w:rsidR="001516EC" w:rsidRPr="001516EC" w:rsidRDefault="001516EC">
      <w:r w:rsidRPr="00656B32">
        <w:t xml:space="preserve">After procurement add cloud service to </w:t>
      </w:r>
      <w:r w:rsidR="0027218A">
        <w:t>agency</w:t>
      </w:r>
      <w:r w:rsidRPr="00656B32">
        <w:t>’s cloud service register.</w:t>
      </w:r>
    </w:p>
    <w:p w:rsidR="00ED7580" w:rsidRDefault="00ED7580" w:rsidP="006307BC">
      <w:r>
        <w:br w:type="page"/>
      </w:r>
    </w:p>
    <w:p w:rsidR="00832C0E" w:rsidRPr="00C10CAE" w:rsidRDefault="00832C0E" w:rsidP="00C10CAE">
      <w:pPr>
        <w:pStyle w:val="Heading1"/>
        <w:keepNext w:val="0"/>
      </w:pPr>
      <w:bookmarkStart w:id="285" w:name="_Toc489364429"/>
      <w:r>
        <w:lastRenderedPageBreak/>
        <w:t>Document control</w:t>
      </w:r>
      <w:bookmarkEnd w:id="285"/>
    </w:p>
    <w:tbl>
      <w:tblPr>
        <w:tblStyle w:val="TableGrid"/>
        <w:tblW w:w="0" w:type="auto"/>
        <w:tblCellMar>
          <w:top w:w="57" w:type="dxa"/>
          <w:bottom w:w="57" w:type="dxa"/>
        </w:tblCellMar>
        <w:tblLook w:val="06A0" w:firstRow="1" w:lastRow="0" w:firstColumn="1" w:lastColumn="0" w:noHBand="1" w:noVBand="1"/>
        <w:tblDescription w:val="Document details showing document title, contact details, version, date issued, approved by, date approved and document review"/>
      </w:tblPr>
      <w:tblGrid>
        <w:gridCol w:w="2374"/>
        <w:gridCol w:w="7254"/>
      </w:tblGrid>
      <w:tr w:rsidR="00832C0E" w:rsidRPr="002E3B83" w:rsidTr="00227ADC">
        <w:trPr>
          <w:cantSplit/>
          <w:tblHeader/>
        </w:trPr>
        <w:tc>
          <w:tcPr>
            <w:tcW w:w="9628" w:type="dxa"/>
            <w:gridSpan w:val="2"/>
            <w:shd w:val="clear" w:color="auto" w:fill="BFBFBF" w:themeFill="background1" w:themeFillShade="BF"/>
            <w:vAlign w:val="center"/>
          </w:tcPr>
          <w:p w:rsidR="00832C0E" w:rsidRPr="002E3B83" w:rsidRDefault="00832C0E">
            <w:pPr>
              <w:pStyle w:val="NoSpacing"/>
              <w:rPr>
                <w:b/>
              </w:rPr>
            </w:pPr>
            <w:r w:rsidRPr="002E3B83">
              <w:rPr>
                <w:b/>
              </w:rPr>
              <w:t>Document details</w:t>
            </w:r>
          </w:p>
        </w:tc>
      </w:tr>
      <w:tr w:rsidR="00832C0E" w:rsidRPr="002E3B83" w:rsidTr="00227ADC">
        <w:trPr>
          <w:cantSplit/>
        </w:trPr>
        <w:tc>
          <w:tcPr>
            <w:tcW w:w="2374" w:type="dxa"/>
          </w:tcPr>
          <w:p w:rsidR="00832C0E" w:rsidRPr="002E3B83" w:rsidRDefault="00832C0E">
            <w:pPr>
              <w:pStyle w:val="NoSpacing"/>
              <w:rPr>
                <w:b/>
              </w:rPr>
            </w:pPr>
            <w:r>
              <w:rPr>
                <w:b/>
              </w:rPr>
              <w:t xml:space="preserve">Responsible </w:t>
            </w:r>
            <w:r w:rsidR="0027218A">
              <w:rPr>
                <w:b/>
              </w:rPr>
              <w:t>agency</w:t>
            </w:r>
          </w:p>
        </w:tc>
        <w:tc>
          <w:tcPr>
            <w:tcW w:w="7254" w:type="dxa"/>
            <w:vAlign w:val="center"/>
          </w:tcPr>
          <w:p w:rsidR="00832C0E" w:rsidRPr="002E3B83" w:rsidRDefault="00ED7580">
            <w:pPr>
              <w:pStyle w:val="NoSpacing"/>
            </w:pPr>
            <w:r>
              <w:rPr>
                <w:bCs/>
              </w:rPr>
              <w:t>Department of Corporate and Information Services</w:t>
            </w:r>
            <w:r w:rsidR="00227ADC">
              <w:rPr>
                <w:bCs/>
              </w:rPr>
              <w:t xml:space="preserve"> (DCIS)</w:t>
            </w:r>
          </w:p>
        </w:tc>
      </w:tr>
      <w:tr w:rsidR="00832C0E" w:rsidRPr="002E3B83" w:rsidTr="00227ADC">
        <w:trPr>
          <w:cantSplit/>
        </w:trPr>
        <w:tc>
          <w:tcPr>
            <w:tcW w:w="2374" w:type="dxa"/>
          </w:tcPr>
          <w:p w:rsidR="00832C0E" w:rsidRPr="002E3B83" w:rsidRDefault="00832C0E">
            <w:pPr>
              <w:pStyle w:val="NoSpacing"/>
              <w:rPr>
                <w:b/>
              </w:rPr>
            </w:pPr>
            <w:r w:rsidRPr="002E3B83">
              <w:rPr>
                <w:b/>
              </w:rPr>
              <w:t>Contact details</w:t>
            </w:r>
          </w:p>
        </w:tc>
        <w:tc>
          <w:tcPr>
            <w:tcW w:w="7254" w:type="dxa"/>
          </w:tcPr>
          <w:p w:rsidR="00832C0E" w:rsidRPr="002E3B83" w:rsidRDefault="00ED7580" w:rsidP="00227ADC">
            <w:pPr>
              <w:pStyle w:val="NoSpacing"/>
            </w:pPr>
            <w:r>
              <w:rPr>
                <w:bCs/>
              </w:rPr>
              <w:t>Digital Policy Unit</w:t>
            </w:r>
            <w:r w:rsidR="00227ADC">
              <w:rPr>
                <w:bCs/>
              </w:rPr>
              <w:t xml:space="preserve">, Office of Digital Government, </w:t>
            </w:r>
            <w:hyperlink r:id="rId18" w:history="1">
              <w:r w:rsidRPr="0057593B">
                <w:rPr>
                  <w:rStyle w:val="Hyperlink"/>
                  <w:bCs/>
                </w:rPr>
                <w:t>Digital.Policy@nt.gov.au</w:t>
              </w:r>
            </w:hyperlink>
          </w:p>
        </w:tc>
      </w:tr>
      <w:tr w:rsidR="00832C0E" w:rsidRPr="002E3B83" w:rsidTr="00227ADC">
        <w:trPr>
          <w:cantSplit/>
        </w:trPr>
        <w:tc>
          <w:tcPr>
            <w:tcW w:w="2374" w:type="dxa"/>
            <w:vAlign w:val="center"/>
          </w:tcPr>
          <w:p w:rsidR="00832C0E" w:rsidRPr="002E3B83" w:rsidRDefault="00832C0E">
            <w:pPr>
              <w:pStyle w:val="NoSpacing"/>
              <w:rPr>
                <w:b/>
              </w:rPr>
            </w:pPr>
            <w:r w:rsidRPr="002E3B83">
              <w:rPr>
                <w:b/>
              </w:rPr>
              <w:t>Date and version</w:t>
            </w:r>
          </w:p>
        </w:tc>
        <w:tc>
          <w:tcPr>
            <w:tcW w:w="7254" w:type="dxa"/>
            <w:vAlign w:val="center"/>
          </w:tcPr>
          <w:p w:rsidR="00227ADC" w:rsidRDefault="0069742C" w:rsidP="00227ADC">
            <w:pPr>
              <w:pStyle w:val="NoSpacing"/>
            </w:pPr>
            <w:r>
              <w:t>18 </w:t>
            </w:r>
            <w:r w:rsidR="00227ADC">
              <w:t>September</w:t>
            </w:r>
            <w:r w:rsidR="0027218A">
              <w:t> </w:t>
            </w:r>
            <w:r w:rsidR="00ED7580">
              <w:t>2017</w:t>
            </w:r>
          </w:p>
          <w:p w:rsidR="00832C0E" w:rsidRPr="002E3B83" w:rsidRDefault="00227ADC" w:rsidP="00227ADC">
            <w:pPr>
              <w:pStyle w:val="NoSpacing"/>
            </w:pPr>
            <w:r>
              <w:t>V</w:t>
            </w:r>
            <w:r w:rsidR="0027218A">
              <w:t>ersion </w:t>
            </w:r>
            <w:r w:rsidR="00ED7580">
              <w:t>2.</w:t>
            </w:r>
            <w:r>
              <w:t>1</w:t>
            </w:r>
          </w:p>
        </w:tc>
      </w:tr>
      <w:tr w:rsidR="00832C0E" w:rsidRPr="002E3B83" w:rsidTr="00227ADC">
        <w:trPr>
          <w:cantSplit/>
        </w:trPr>
        <w:tc>
          <w:tcPr>
            <w:tcW w:w="2374" w:type="dxa"/>
            <w:vAlign w:val="center"/>
          </w:tcPr>
          <w:p w:rsidR="00832C0E" w:rsidRPr="002E3B83" w:rsidRDefault="00832C0E">
            <w:pPr>
              <w:pStyle w:val="NoSpacing"/>
              <w:rPr>
                <w:b/>
              </w:rPr>
            </w:pPr>
            <w:r w:rsidRPr="002E3B83">
              <w:rPr>
                <w:b/>
              </w:rPr>
              <w:t>Approved by</w:t>
            </w:r>
          </w:p>
        </w:tc>
        <w:tc>
          <w:tcPr>
            <w:tcW w:w="7254" w:type="dxa"/>
            <w:vAlign w:val="center"/>
          </w:tcPr>
          <w:p w:rsidR="00832C0E" w:rsidRPr="002E3B83" w:rsidRDefault="00227ADC" w:rsidP="0027218A">
            <w:pPr>
              <w:pStyle w:val="NoSpacing"/>
            </w:pPr>
            <w:r>
              <w:t>Minister for DCIS, Hon Lauren Moss</w:t>
            </w:r>
          </w:p>
        </w:tc>
      </w:tr>
      <w:tr w:rsidR="00832C0E" w:rsidRPr="002E3B83" w:rsidTr="00227ADC">
        <w:trPr>
          <w:cantSplit/>
        </w:trPr>
        <w:tc>
          <w:tcPr>
            <w:tcW w:w="2374" w:type="dxa"/>
            <w:vAlign w:val="center"/>
          </w:tcPr>
          <w:p w:rsidR="00832C0E" w:rsidRPr="002E3B83" w:rsidRDefault="00832C0E">
            <w:pPr>
              <w:pStyle w:val="NoSpacing"/>
              <w:rPr>
                <w:b/>
              </w:rPr>
            </w:pPr>
            <w:r w:rsidRPr="002E3B83">
              <w:rPr>
                <w:b/>
              </w:rPr>
              <w:t>Date approved</w:t>
            </w:r>
          </w:p>
        </w:tc>
        <w:tc>
          <w:tcPr>
            <w:tcW w:w="7254" w:type="dxa"/>
            <w:vAlign w:val="center"/>
          </w:tcPr>
          <w:p w:rsidR="00832C0E" w:rsidRPr="002E3B83" w:rsidRDefault="0027218A" w:rsidP="0027218A">
            <w:pPr>
              <w:pStyle w:val="NoSpacing"/>
            </w:pPr>
            <w:r>
              <w:t>17 </w:t>
            </w:r>
            <w:r w:rsidR="00C10CAE">
              <w:t>July</w:t>
            </w:r>
            <w:r>
              <w:t> </w:t>
            </w:r>
            <w:r w:rsidR="00C10CAE">
              <w:t>2017</w:t>
            </w:r>
          </w:p>
        </w:tc>
      </w:tr>
    </w:tbl>
    <w:p w:rsidR="00832C0E" w:rsidRPr="002E3B83" w:rsidRDefault="00832C0E"/>
    <w:tbl>
      <w:tblPr>
        <w:tblStyle w:val="NTGTable"/>
        <w:tblW w:w="0" w:type="auto"/>
        <w:tblInd w:w="0" w:type="dxa"/>
        <w:tblLook w:val="0620" w:firstRow="1" w:lastRow="0" w:firstColumn="0" w:lastColumn="0" w:noHBand="1" w:noVBand="1"/>
        <w:tblDescription w:val="Document change history showing version, date, author and change details"/>
      </w:tblPr>
      <w:tblGrid>
        <w:gridCol w:w="1089"/>
        <w:gridCol w:w="2088"/>
        <w:gridCol w:w="1667"/>
        <w:gridCol w:w="4671"/>
      </w:tblGrid>
      <w:tr w:rsidR="00832C0E" w:rsidRPr="002E3B83" w:rsidTr="00105433">
        <w:trPr>
          <w:cnfStyle w:val="100000000000" w:firstRow="1" w:lastRow="0" w:firstColumn="0" w:lastColumn="0" w:oddVBand="0" w:evenVBand="0" w:oddHBand="0" w:evenHBand="0" w:firstRowFirstColumn="0" w:firstRowLastColumn="0" w:lastRowFirstColumn="0" w:lastRowLastColumn="0"/>
        </w:trPr>
        <w:tc>
          <w:tcPr>
            <w:tcW w:w="9515" w:type="dxa"/>
            <w:gridSpan w:val="4"/>
          </w:tcPr>
          <w:p w:rsidR="00832C0E" w:rsidRPr="002E3B83" w:rsidRDefault="00832C0E" w:rsidP="006307BC">
            <w:pPr>
              <w:pStyle w:val="NoSpacing"/>
              <w:jc w:val="left"/>
              <w:rPr>
                <w:b w:val="0"/>
              </w:rPr>
            </w:pPr>
            <w:r w:rsidRPr="002E3B83">
              <w:t>Change history</w:t>
            </w:r>
          </w:p>
        </w:tc>
      </w:tr>
      <w:tr w:rsidR="00832C0E" w:rsidRPr="002E3B83" w:rsidTr="00105433">
        <w:tc>
          <w:tcPr>
            <w:tcW w:w="1089" w:type="dxa"/>
          </w:tcPr>
          <w:p w:rsidR="00832C0E" w:rsidRPr="002E3B83" w:rsidRDefault="00832C0E" w:rsidP="0027218A">
            <w:pPr>
              <w:pStyle w:val="NoSpacing"/>
              <w:spacing w:before="60" w:after="60"/>
              <w:rPr>
                <w:b/>
              </w:rPr>
            </w:pPr>
            <w:r w:rsidRPr="002E3B83">
              <w:rPr>
                <w:b/>
              </w:rPr>
              <w:t>Version</w:t>
            </w:r>
          </w:p>
        </w:tc>
        <w:tc>
          <w:tcPr>
            <w:tcW w:w="2088" w:type="dxa"/>
          </w:tcPr>
          <w:p w:rsidR="00832C0E" w:rsidRPr="002E3B83" w:rsidRDefault="00832C0E" w:rsidP="0027218A">
            <w:pPr>
              <w:pStyle w:val="NoSpacing"/>
              <w:spacing w:before="60" w:after="60"/>
              <w:rPr>
                <w:b/>
              </w:rPr>
            </w:pPr>
            <w:r w:rsidRPr="002E3B83">
              <w:rPr>
                <w:b/>
              </w:rPr>
              <w:t>Date</w:t>
            </w:r>
          </w:p>
        </w:tc>
        <w:tc>
          <w:tcPr>
            <w:tcW w:w="1667" w:type="dxa"/>
          </w:tcPr>
          <w:p w:rsidR="00832C0E" w:rsidRPr="002E3B83" w:rsidRDefault="00832C0E" w:rsidP="0027218A">
            <w:pPr>
              <w:pStyle w:val="NoSpacing"/>
              <w:spacing w:before="60" w:after="60"/>
              <w:rPr>
                <w:b/>
              </w:rPr>
            </w:pPr>
            <w:r w:rsidRPr="002E3B83">
              <w:rPr>
                <w:b/>
              </w:rPr>
              <w:t>Author</w:t>
            </w:r>
          </w:p>
        </w:tc>
        <w:tc>
          <w:tcPr>
            <w:tcW w:w="4671" w:type="dxa"/>
          </w:tcPr>
          <w:p w:rsidR="00832C0E" w:rsidRPr="002E3B83" w:rsidRDefault="00832C0E" w:rsidP="0027218A">
            <w:pPr>
              <w:pStyle w:val="NoSpacing"/>
              <w:spacing w:before="60" w:after="60"/>
              <w:rPr>
                <w:b/>
              </w:rPr>
            </w:pPr>
            <w:r w:rsidRPr="002E3B83">
              <w:rPr>
                <w:b/>
              </w:rPr>
              <w:t>Change details</w:t>
            </w:r>
          </w:p>
        </w:tc>
      </w:tr>
      <w:tr w:rsidR="00ED7580" w:rsidRPr="002E3B83" w:rsidTr="00105433">
        <w:tc>
          <w:tcPr>
            <w:tcW w:w="1089" w:type="dxa"/>
          </w:tcPr>
          <w:p w:rsidR="00ED7580" w:rsidRPr="001A3FB3" w:rsidRDefault="00ED7580" w:rsidP="0027218A">
            <w:pPr>
              <w:spacing w:before="60" w:after="60"/>
            </w:pPr>
            <w:r w:rsidRPr="001A3FB3">
              <w:t>2.0</w:t>
            </w:r>
          </w:p>
        </w:tc>
        <w:tc>
          <w:tcPr>
            <w:tcW w:w="2088" w:type="dxa"/>
          </w:tcPr>
          <w:p w:rsidR="00ED7580" w:rsidRPr="001A3FB3" w:rsidRDefault="00D8733E" w:rsidP="0027218A">
            <w:pPr>
              <w:spacing w:before="60" w:after="60"/>
            </w:pPr>
            <w:r>
              <w:t>July</w:t>
            </w:r>
            <w:r w:rsidR="0027218A">
              <w:t> </w:t>
            </w:r>
            <w:r>
              <w:t>2017</w:t>
            </w:r>
          </w:p>
        </w:tc>
        <w:tc>
          <w:tcPr>
            <w:tcW w:w="1667" w:type="dxa"/>
          </w:tcPr>
          <w:p w:rsidR="00ED7580" w:rsidRPr="001A3FB3" w:rsidRDefault="00ED7580" w:rsidP="0027218A">
            <w:pPr>
              <w:spacing w:before="60" w:after="60"/>
            </w:pPr>
            <w:r w:rsidRPr="001A3FB3">
              <w:t>DCIS</w:t>
            </w:r>
          </w:p>
        </w:tc>
        <w:tc>
          <w:tcPr>
            <w:tcW w:w="4671" w:type="dxa"/>
          </w:tcPr>
          <w:p w:rsidR="00ED7580" w:rsidRDefault="00D8733E" w:rsidP="0027218A">
            <w:pPr>
              <w:spacing w:before="60" w:after="60"/>
            </w:pPr>
            <w:r>
              <w:t xml:space="preserve">Major review. Approved and published. </w:t>
            </w:r>
          </w:p>
        </w:tc>
      </w:tr>
      <w:tr w:rsidR="00227ADC" w:rsidRPr="002E3B83" w:rsidTr="00105433">
        <w:tc>
          <w:tcPr>
            <w:tcW w:w="1089" w:type="dxa"/>
          </w:tcPr>
          <w:p w:rsidR="00227ADC" w:rsidRPr="001A3FB3" w:rsidRDefault="00227ADC" w:rsidP="0027218A">
            <w:pPr>
              <w:spacing w:before="60" w:after="60"/>
            </w:pPr>
            <w:r>
              <w:t>2.1</w:t>
            </w:r>
          </w:p>
        </w:tc>
        <w:tc>
          <w:tcPr>
            <w:tcW w:w="2088" w:type="dxa"/>
          </w:tcPr>
          <w:p w:rsidR="00227ADC" w:rsidRDefault="0069742C" w:rsidP="0027218A">
            <w:pPr>
              <w:spacing w:before="60" w:after="60"/>
            </w:pPr>
            <w:r>
              <w:t>September </w:t>
            </w:r>
            <w:r w:rsidR="00227ADC">
              <w:t>2017</w:t>
            </w:r>
          </w:p>
        </w:tc>
        <w:tc>
          <w:tcPr>
            <w:tcW w:w="1667" w:type="dxa"/>
          </w:tcPr>
          <w:p w:rsidR="00227ADC" w:rsidRPr="001A3FB3" w:rsidRDefault="00227ADC" w:rsidP="0027218A">
            <w:pPr>
              <w:spacing w:before="60" w:after="60"/>
            </w:pPr>
            <w:r>
              <w:t>DCIS</w:t>
            </w:r>
          </w:p>
        </w:tc>
        <w:tc>
          <w:tcPr>
            <w:tcW w:w="4671" w:type="dxa"/>
          </w:tcPr>
          <w:p w:rsidR="00227ADC" w:rsidRDefault="00227ADC" w:rsidP="0027218A">
            <w:pPr>
              <w:spacing w:before="60" w:after="60"/>
            </w:pPr>
            <w:r>
              <w:t>Internet version: excludes reference to internal documents.</w:t>
            </w:r>
          </w:p>
        </w:tc>
      </w:tr>
    </w:tbl>
    <w:p w:rsidR="00832C0E" w:rsidRPr="00832C0E" w:rsidRDefault="00832C0E" w:rsidP="006307BC"/>
    <w:sectPr w:rsidR="00832C0E" w:rsidRPr="00832C0E" w:rsidSect="007B4F74">
      <w:headerReference w:type="even" r:id="rId19"/>
      <w:headerReference w:type="default" r:id="rId20"/>
      <w:footerReference w:type="default" r:id="rId21"/>
      <w:headerReference w:type="first" r:id="rId22"/>
      <w:pgSz w:w="11906" w:h="16838" w:code="9"/>
      <w:pgMar w:top="993" w:right="1134" w:bottom="1134" w:left="1134"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738" w:rsidRDefault="00226738" w:rsidP="00293A72">
      <w:r>
        <w:separator/>
      </w:r>
    </w:p>
  </w:endnote>
  <w:endnote w:type="continuationSeparator" w:id="0">
    <w:p w:rsidR="00226738" w:rsidRDefault="00226738" w:rsidP="00293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Lato Black">
    <w:panose1 w:val="020F0502020204030203"/>
    <w:charset w:val="00"/>
    <w:family w:val="swiss"/>
    <w:pitch w:val="variable"/>
    <w:sig w:usb0="E10002FF" w:usb1="5000ECFF" w:usb2="00000021" w:usb3="00000000" w:csb0="000001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6B" w:rsidRPr="009A7587" w:rsidRDefault="00B43C6B" w:rsidP="0027218A">
    <w:pPr>
      <w:tabs>
        <w:tab w:val="right" w:pos="10206"/>
      </w:tabs>
      <w:spacing w:after="120"/>
      <w:ind w:left="-567" w:right="-568"/>
      <w:rPr>
        <w:sz w:val="16"/>
        <w:szCs w:val="16"/>
      </w:rPr>
    </w:pPr>
    <w:r>
      <w:pict>
        <v:rect id="_x0000_i1026" style="width:481.9pt;height:.5pt;mso-position-vertical:absolute" o:hralign="center" o:hrstd="t" o:hrnoshade="t" o:hr="t" fillcolor="black [3213]" stroked="f"/>
      </w:pict>
    </w:r>
  </w:p>
  <w:p w:rsidR="00B43C6B" w:rsidRDefault="00B43C6B" w:rsidP="0027218A">
    <w:pPr>
      <w:tabs>
        <w:tab w:val="right" w:pos="10206"/>
      </w:tabs>
      <w:spacing w:after="0"/>
      <w:ind w:left="-567" w:right="-568"/>
      <w:rPr>
        <w:rStyle w:val="NTGFooterDateVersionChar"/>
      </w:rPr>
    </w:pPr>
    <w:r>
      <w:rPr>
        <w:rStyle w:val="NTGFooterDepartmentofChar"/>
      </w:rPr>
      <w:t xml:space="preserve">office OF </w:t>
    </w:r>
    <w:r>
      <w:rPr>
        <w:rStyle w:val="NTGFooterDepartmentofChar"/>
        <w:rFonts w:ascii="Arial Black" w:hAnsi="Arial Black"/>
      </w:rPr>
      <w:t>Digital Government</w:t>
    </w:r>
    <w:r>
      <w:tab/>
    </w:r>
    <w:r>
      <w:rPr>
        <w:rStyle w:val="NTGFooterDateVersionChar"/>
      </w:rPr>
      <w:t>18 September 2017</w:t>
    </w:r>
    <w:r w:rsidRPr="007C50E4">
      <w:rPr>
        <w:rStyle w:val="NTGFooterDateVersionChar"/>
      </w:rPr>
      <w:t xml:space="preserve">, </w:t>
    </w:r>
    <w:r w:rsidRPr="00021422">
      <w:rPr>
        <w:rStyle w:val="NTGFooterDateVersionChar"/>
      </w:rPr>
      <w:t>Version </w:t>
    </w:r>
    <w:r>
      <w:rPr>
        <w:rStyle w:val="NTGFooterDateVersionChar"/>
      </w:rPr>
      <w:t>2.1</w:t>
    </w:r>
  </w:p>
  <w:p w:rsidR="00B43C6B" w:rsidRPr="00AD1F23" w:rsidRDefault="00B43C6B" w:rsidP="0027218A">
    <w:pPr>
      <w:pStyle w:val="NTGFooterPagenumber"/>
      <w:tabs>
        <w:tab w:val="clear" w:pos="9026"/>
        <w:tab w:val="right" w:pos="10206"/>
      </w:tabs>
      <w:spacing w:after="600"/>
      <w:ind w:left="-567" w:right="-568"/>
    </w:pPr>
    <w:r w:rsidRPr="00FA214B">
      <w:t>Printed copies are for reference only</w:t>
    </w:r>
    <w:proofErr w:type="gramStart"/>
    <w:r w:rsidRPr="00FA214B">
      <w:t>.</w:t>
    </w:r>
    <w:r w:rsidRPr="00797230">
      <w:t>.</w:t>
    </w:r>
    <w:proofErr w:type="gramEnd"/>
    <w:r>
      <w:tab/>
      <w:t xml:space="preserve">Page </w:t>
    </w:r>
    <w:r>
      <w:fldChar w:fldCharType="begin"/>
    </w:r>
    <w:r>
      <w:instrText xml:space="preserve"> PAGE  \* Arabic  \* MERGEFORMAT </w:instrText>
    </w:r>
    <w:r>
      <w:fldChar w:fldCharType="separate"/>
    </w:r>
    <w:r w:rsidR="0019248E">
      <w:rPr>
        <w:noProof/>
      </w:rPr>
      <w:t>3</w:t>
    </w:r>
    <w:r>
      <w:fldChar w:fldCharType="end"/>
    </w:r>
    <w:r>
      <w:t xml:space="preserve"> of </w:t>
    </w:r>
    <w:fldSimple w:instr=" NUMPAGES  \* Arabic  \* MERGEFORMAT ">
      <w:r w:rsidR="0019248E">
        <w:rPr>
          <w:noProof/>
        </w:rPr>
        <w:t>24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632"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6800"/>
      <w:gridCol w:w="3832"/>
    </w:tblGrid>
    <w:tr w:rsidR="00B43C6B" w:rsidRPr="002C6633" w:rsidTr="0027218A">
      <w:trPr>
        <w:cantSplit/>
        <w:trHeight w:hRule="exact" w:val="1400"/>
        <w:tblHeader/>
      </w:trPr>
      <w:tc>
        <w:tcPr>
          <w:tcW w:w="6800" w:type="dxa"/>
          <w:vAlign w:val="center"/>
        </w:tcPr>
        <w:p w:rsidR="00B43C6B" w:rsidRPr="002C6633" w:rsidRDefault="00B43C6B" w:rsidP="0027218A">
          <w:pPr>
            <w:pStyle w:val="Footer"/>
            <w:tabs>
              <w:tab w:val="clear" w:pos="9639"/>
              <w:tab w:val="right" w:pos="6800"/>
            </w:tabs>
            <w:spacing w:before="280"/>
            <w:ind w:right="0"/>
          </w:pPr>
          <w:r>
            <w:rPr>
              <w:rStyle w:val="NTGFooterDepartmentofChar"/>
            </w:rPr>
            <w:t xml:space="preserve">office OF </w:t>
          </w:r>
          <w:r>
            <w:rPr>
              <w:rStyle w:val="NTGFooterDepartmentofChar"/>
              <w:rFonts w:ascii="Arial Black" w:hAnsi="Arial Black"/>
            </w:rPr>
            <w:t>Digital Government</w:t>
          </w:r>
          <w:r w:rsidRPr="002C6633">
            <w:br/>
          </w:r>
        </w:p>
      </w:tc>
      <w:tc>
        <w:tcPr>
          <w:tcW w:w="3832" w:type="dxa"/>
          <w:vAlign w:val="center"/>
        </w:tcPr>
        <w:p w:rsidR="00B43C6B" w:rsidRPr="002C6633" w:rsidRDefault="00B43C6B" w:rsidP="002C6633">
          <w:pPr>
            <w:spacing w:after="0" w:line="252" w:lineRule="auto"/>
            <w:ind w:left="709"/>
            <w:jc w:val="right"/>
            <w:rPr>
              <w:rFonts w:cs="Arial"/>
              <w:sz w:val="20"/>
            </w:rPr>
          </w:pPr>
          <w:r w:rsidRPr="002C6633">
            <w:rPr>
              <w:rFonts w:cs="Arial"/>
              <w:noProof/>
              <w:sz w:val="20"/>
              <w:lang w:eastAsia="en-AU"/>
            </w:rPr>
            <w:drawing>
              <wp:inline distT="0" distB="0" distL="0" distR="0" wp14:anchorId="6DA687BD" wp14:editId="28B25A1E">
                <wp:extent cx="1347470" cy="481330"/>
                <wp:effectExtent l="0" t="0" r="5080" b="0"/>
                <wp:docPr id="4" name="Picture 4"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rsidR="00B43C6B" w:rsidRPr="002C6633" w:rsidRDefault="00B43C6B" w:rsidP="00410CF8">
    <w:pPr>
      <w:pStyle w:val="Footerspacing"/>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6B" w:rsidRPr="009A7587" w:rsidRDefault="00B43C6B" w:rsidP="0027218A">
    <w:pPr>
      <w:tabs>
        <w:tab w:val="right" w:pos="10206"/>
      </w:tabs>
      <w:spacing w:after="120"/>
      <w:ind w:left="-567" w:right="-568"/>
      <w:rPr>
        <w:sz w:val="16"/>
        <w:szCs w:val="16"/>
      </w:rPr>
    </w:pPr>
    <w:r>
      <w:pict>
        <v:rect id="_x0000_i1027" style="width:481.9pt;height:.5pt;mso-position-vertical:absolute" o:hralign="center" o:hrstd="t" o:hrnoshade="t" o:hr="t" fillcolor="black [3213]" stroked="f"/>
      </w:pict>
    </w:r>
  </w:p>
  <w:p w:rsidR="00B43C6B" w:rsidRDefault="00B43C6B" w:rsidP="0027218A">
    <w:pPr>
      <w:tabs>
        <w:tab w:val="right" w:pos="10206"/>
      </w:tabs>
      <w:spacing w:after="0"/>
      <w:ind w:left="-567" w:right="-568"/>
      <w:rPr>
        <w:rStyle w:val="NTGFooterDateVersionChar"/>
      </w:rPr>
    </w:pPr>
    <w:r>
      <w:rPr>
        <w:rStyle w:val="NTGFooterDepartmentofChar"/>
      </w:rPr>
      <w:t>office OF</w:t>
    </w:r>
    <w:r>
      <w:rPr>
        <w:rStyle w:val="NTGFooterDepartmentofChar"/>
        <w:rFonts w:ascii="Arial Black" w:hAnsi="Arial Black"/>
      </w:rPr>
      <w:t xml:space="preserve"> digital government </w:t>
    </w:r>
    <w:r>
      <w:tab/>
    </w:r>
    <w:r>
      <w:rPr>
        <w:rStyle w:val="NTGFooterDateVersionChar"/>
      </w:rPr>
      <w:t>18</w:t>
    </w:r>
    <w:r w:rsidR="0069742C">
      <w:rPr>
        <w:rStyle w:val="NTGFooterDateVersionChar"/>
      </w:rPr>
      <w:t> </w:t>
    </w:r>
    <w:r>
      <w:rPr>
        <w:rStyle w:val="NTGFooterDateVersionChar"/>
      </w:rPr>
      <w:t>September</w:t>
    </w:r>
    <w:r w:rsidR="0069742C">
      <w:rPr>
        <w:rStyle w:val="NTGFooterDateVersionChar"/>
      </w:rPr>
      <w:t> </w:t>
    </w:r>
    <w:r>
      <w:rPr>
        <w:rStyle w:val="NTGFooterDateVersionChar"/>
      </w:rPr>
      <w:t>2017</w:t>
    </w:r>
    <w:r w:rsidRPr="007C50E4">
      <w:rPr>
        <w:rStyle w:val="NTGFooterDateVersionChar"/>
      </w:rPr>
      <w:t xml:space="preserve">, </w:t>
    </w:r>
    <w:r w:rsidRPr="00021422">
      <w:rPr>
        <w:rStyle w:val="NTGFooterDateVersionChar"/>
      </w:rPr>
      <w:t>Version </w:t>
    </w:r>
    <w:r>
      <w:rPr>
        <w:rStyle w:val="NTGFooterDateVersionChar"/>
      </w:rPr>
      <w:t>2.1</w:t>
    </w:r>
  </w:p>
  <w:p w:rsidR="00B43C6B" w:rsidRPr="00E72867" w:rsidRDefault="00B43C6B" w:rsidP="0027218A">
    <w:pPr>
      <w:pStyle w:val="NTGFooterPagenumber"/>
      <w:tabs>
        <w:tab w:val="clear" w:pos="9026"/>
        <w:tab w:val="right" w:pos="10206"/>
      </w:tabs>
      <w:spacing w:after="600"/>
      <w:ind w:left="-567" w:right="-568"/>
    </w:pPr>
    <w:r w:rsidRPr="00FA214B">
      <w:t>Printed copies are for reference only.</w:t>
    </w:r>
    <w:r>
      <w:tab/>
      <w:t xml:space="preserve">Page </w:t>
    </w:r>
    <w:r>
      <w:fldChar w:fldCharType="begin"/>
    </w:r>
    <w:r>
      <w:instrText xml:space="preserve"> PAGE  \* Arabic  \* MERGEFORMAT </w:instrText>
    </w:r>
    <w:r>
      <w:fldChar w:fldCharType="separate"/>
    </w:r>
    <w:r w:rsidR="0019248E">
      <w:rPr>
        <w:noProof/>
      </w:rPr>
      <w:t>5</w:t>
    </w:r>
    <w:r>
      <w:fldChar w:fldCharType="end"/>
    </w:r>
    <w:r>
      <w:t xml:space="preserve"> of </w:t>
    </w:r>
    <w:fldSimple w:instr=" NUMPAGES  \* Arabic  \* MERGEFORMAT ">
      <w:r w:rsidR="0019248E">
        <w:rPr>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738" w:rsidRDefault="00226738" w:rsidP="00293A72">
      <w:r>
        <w:separator/>
      </w:r>
    </w:p>
  </w:footnote>
  <w:footnote w:type="continuationSeparator" w:id="0">
    <w:p w:rsidR="00226738" w:rsidRDefault="00226738" w:rsidP="00293A72">
      <w:r>
        <w:continuationSeparator/>
      </w:r>
    </w:p>
  </w:footnote>
  <w:footnote w:type="continuationNotice" w:id="1">
    <w:p w:rsidR="00226738" w:rsidRPr="00FB5692" w:rsidRDefault="00226738" w:rsidP="00FB5692">
      <w:pPr>
        <w:pStyle w:val="Footer"/>
      </w:pPr>
    </w:p>
  </w:footnote>
  <w:footnote w:id="2">
    <w:p w:rsidR="00B43C6B" w:rsidRPr="00425DDB" w:rsidRDefault="00B43C6B" w:rsidP="00904020">
      <w:pPr>
        <w:pStyle w:val="FootnoteText"/>
      </w:pPr>
      <w:r>
        <w:rPr>
          <w:rStyle w:val="FootnoteReference"/>
        </w:rPr>
        <w:footnoteRef/>
      </w:r>
      <w:r>
        <w:t xml:space="preserve"> </w:t>
      </w:r>
      <w:r>
        <w:rPr>
          <w:i/>
        </w:rPr>
        <w:t xml:space="preserve">Information Act </w:t>
      </w:r>
      <w:r>
        <w:t>(NT) s 4A</w:t>
      </w:r>
    </w:p>
  </w:footnote>
  <w:footnote w:id="3">
    <w:p w:rsidR="00B43C6B" w:rsidRDefault="00B43C6B">
      <w:pPr>
        <w:pStyle w:val="FootnoteText"/>
      </w:pPr>
      <w:r>
        <w:rPr>
          <w:rStyle w:val="FootnoteReference"/>
        </w:rPr>
        <w:footnoteRef/>
      </w:r>
      <w:r>
        <w:t xml:space="preserve"> </w:t>
      </w:r>
      <w:r w:rsidRPr="00672201">
        <w:t>https://www.protectivesecurity.gov.au/Pages/default.aspx</w:t>
      </w:r>
    </w:p>
  </w:footnote>
  <w:footnote w:id="4">
    <w:p w:rsidR="00B43C6B" w:rsidRDefault="00B43C6B">
      <w:pPr>
        <w:pStyle w:val="FootnoteText"/>
      </w:pPr>
      <w:r>
        <w:rPr>
          <w:rStyle w:val="FootnoteReference"/>
        </w:rPr>
        <w:footnoteRef/>
      </w:r>
      <w:r>
        <w:t xml:space="preserve"> </w:t>
      </w:r>
      <w:r w:rsidRPr="00672201">
        <w:t>http://www.asd.gov.au/publications/Information_Security_Manual_2016_Controls.pdf</w:t>
      </w:r>
    </w:p>
  </w:footnote>
  <w:footnote w:id="5">
    <w:p w:rsidR="00B43C6B" w:rsidRDefault="00B43C6B">
      <w:pPr>
        <w:pStyle w:val="FootnoteText"/>
      </w:pPr>
      <w:r>
        <w:rPr>
          <w:rStyle w:val="FootnoteReference"/>
        </w:rPr>
        <w:footnoteRef/>
      </w:r>
      <w:r>
        <w:t xml:space="preserve"> </w:t>
      </w:r>
      <w:r w:rsidRPr="00672201">
        <w:t>http://www.finance.gov.au/cloud/</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6B" w:rsidRPr="00274F1C" w:rsidRDefault="00B43C6B" w:rsidP="00C62099">
    <w:pPr>
      <w:pStyle w:val="Header"/>
      <w:tabs>
        <w:tab w:val="clear" w:pos="4513"/>
        <w:tab w:val="clear" w:pos="9026"/>
      </w:tabs>
      <w:ind w:right="-285"/>
    </w:pPr>
    <w:r>
      <w:fldChar w:fldCharType="begin"/>
    </w:r>
    <w:r>
      <w:instrText xml:space="preserve"> TITLE   \* MERGEFORMAT </w:instrText>
    </w:r>
    <w:r>
      <w:fldChar w:fldCharType="separate"/>
    </w:r>
    <w:r w:rsidR="0019248E">
      <w:t>Cloud computing</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All of Government Policy Framework"/>
    </w:tblPr>
    <w:tblGrid>
      <w:gridCol w:w="4836"/>
      <w:gridCol w:w="4802"/>
    </w:tblGrid>
    <w:tr w:rsidR="00B43C6B" w:rsidTr="00E72867">
      <w:trPr>
        <w:cantSplit/>
        <w:tblHeader/>
      </w:trPr>
      <w:tc>
        <w:tcPr>
          <w:tcW w:w="4883" w:type="dxa"/>
        </w:tcPr>
        <w:p w:rsidR="00B43C6B" w:rsidRDefault="00B43C6B" w:rsidP="002B5FF8">
          <w:pPr>
            <w:pStyle w:val="Appendix"/>
          </w:pPr>
          <w:r>
            <w:t>All of government</w:t>
          </w:r>
        </w:p>
      </w:tc>
      <w:tc>
        <w:tcPr>
          <w:tcW w:w="4858" w:type="dxa"/>
          <w:shd w:val="clear" w:color="auto" w:fill="808080" w:themeFill="background1" w:themeFillShade="80"/>
          <w:vAlign w:val="center"/>
        </w:tcPr>
        <w:p w:rsidR="00B43C6B" w:rsidRPr="009B7033" w:rsidRDefault="00B43C6B" w:rsidP="009B7033">
          <w:pPr>
            <w:pStyle w:val="Appendix"/>
            <w:spacing w:beforeLines="20" w:before="48" w:afterLines="20" w:after="48"/>
            <w:jc w:val="center"/>
            <w:rPr>
              <w:color w:val="FFFFFF" w:themeColor="background1"/>
            </w:rPr>
          </w:pPr>
          <w:r>
            <w:rPr>
              <w:color w:val="FFFFFF" w:themeColor="background1"/>
            </w:rPr>
            <w:t>Standard</w:t>
          </w:r>
        </w:p>
        <w:p w:rsidR="00B43C6B" w:rsidRPr="00E60EEE" w:rsidRDefault="00B43C6B" w:rsidP="009B7033">
          <w:pPr>
            <w:spacing w:beforeLines="20" w:before="48" w:afterLines="20" w:after="48"/>
            <w:jc w:val="center"/>
          </w:pPr>
          <w:r>
            <w:rPr>
              <w:color w:val="FFFFFF" w:themeColor="background1"/>
            </w:rPr>
            <w:t>Secondary d</w:t>
          </w:r>
          <w:r w:rsidRPr="009B7033">
            <w:rPr>
              <w:color w:val="FFFFFF" w:themeColor="background1"/>
            </w:rPr>
            <w:t>ocument</w:t>
          </w:r>
        </w:p>
      </w:tc>
    </w:tr>
  </w:tbl>
  <w:p w:rsidR="00B43C6B" w:rsidRPr="00E72867" w:rsidRDefault="00B43C6B" w:rsidP="00E72867">
    <w:pPr>
      <w:pStyle w:val="BlockTex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6B" w:rsidRDefault="00B43C6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6B" w:rsidRDefault="00B43C6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6B" w:rsidRPr="00274F1C" w:rsidRDefault="00B43C6B" w:rsidP="005E2F53">
    <w:pPr>
      <w:pStyle w:val="Header"/>
      <w:tabs>
        <w:tab w:val="clear" w:pos="4513"/>
        <w:tab w:val="clear" w:pos="9026"/>
      </w:tabs>
      <w:ind w:right="-1"/>
    </w:pPr>
    <w:r w:rsidRPr="00274F1C">
      <w:t>Table of Contents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6B" w:rsidRDefault="00B43C6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6B" w:rsidRDefault="00B43C6B" w:rsidP="0027218A">
    <w:pPr>
      <w:pStyle w:val="Header"/>
      <w:tabs>
        <w:tab w:val="clear" w:pos="4513"/>
        <w:tab w:val="clear" w:pos="9026"/>
      </w:tabs>
      <w:ind w:right="-427"/>
    </w:pPr>
    <w:r>
      <w:t>Cloud Computing Standard</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6B" w:rsidRDefault="00B43C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7CEEB7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2849240"/>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9F02BA6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11941F6D"/>
    <w:multiLevelType w:val="hybridMultilevel"/>
    <w:tmpl w:val="7BFE2308"/>
    <w:lvl w:ilvl="0" w:tplc="0C090001">
      <w:start w:val="1"/>
      <w:numFmt w:val="bullet"/>
      <w:lvlText w:val=""/>
      <w:lvlJc w:val="left"/>
      <w:pPr>
        <w:ind w:left="834" w:hanging="360"/>
      </w:pPr>
      <w:rPr>
        <w:rFonts w:ascii="Symbol" w:hAnsi="Symbol" w:hint="default"/>
      </w:rPr>
    </w:lvl>
    <w:lvl w:ilvl="1" w:tplc="0C090003" w:tentative="1">
      <w:start w:val="1"/>
      <w:numFmt w:val="bullet"/>
      <w:lvlText w:val="o"/>
      <w:lvlJc w:val="left"/>
      <w:pPr>
        <w:ind w:left="1554" w:hanging="360"/>
      </w:pPr>
      <w:rPr>
        <w:rFonts w:ascii="Courier New" w:hAnsi="Courier New" w:cs="Courier New" w:hint="default"/>
      </w:rPr>
    </w:lvl>
    <w:lvl w:ilvl="2" w:tplc="0C090005" w:tentative="1">
      <w:start w:val="1"/>
      <w:numFmt w:val="bullet"/>
      <w:lvlText w:val=""/>
      <w:lvlJc w:val="left"/>
      <w:pPr>
        <w:ind w:left="2274" w:hanging="360"/>
      </w:pPr>
      <w:rPr>
        <w:rFonts w:ascii="Wingdings" w:hAnsi="Wingdings" w:hint="default"/>
      </w:rPr>
    </w:lvl>
    <w:lvl w:ilvl="3" w:tplc="0C090001" w:tentative="1">
      <w:start w:val="1"/>
      <w:numFmt w:val="bullet"/>
      <w:lvlText w:val=""/>
      <w:lvlJc w:val="left"/>
      <w:pPr>
        <w:ind w:left="2994" w:hanging="360"/>
      </w:pPr>
      <w:rPr>
        <w:rFonts w:ascii="Symbol" w:hAnsi="Symbol" w:hint="default"/>
      </w:rPr>
    </w:lvl>
    <w:lvl w:ilvl="4" w:tplc="0C090003" w:tentative="1">
      <w:start w:val="1"/>
      <w:numFmt w:val="bullet"/>
      <w:lvlText w:val="o"/>
      <w:lvlJc w:val="left"/>
      <w:pPr>
        <w:ind w:left="3714" w:hanging="360"/>
      </w:pPr>
      <w:rPr>
        <w:rFonts w:ascii="Courier New" w:hAnsi="Courier New" w:cs="Courier New" w:hint="default"/>
      </w:rPr>
    </w:lvl>
    <w:lvl w:ilvl="5" w:tplc="0C090005" w:tentative="1">
      <w:start w:val="1"/>
      <w:numFmt w:val="bullet"/>
      <w:lvlText w:val=""/>
      <w:lvlJc w:val="left"/>
      <w:pPr>
        <w:ind w:left="4434" w:hanging="360"/>
      </w:pPr>
      <w:rPr>
        <w:rFonts w:ascii="Wingdings" w:hAnsi="Wingdings" w:hint="default"/>
      </w:rPr>
    </w:lvl>
    <w:lvl w:ilvl="6" w:tplc="0C090001" w:tentative="1">
      <w:start w:val="1"/>
      <w:numFmt w:val="bullet"/>
      <w:lvlText w:val=""/>
      <w:lvlJc w:val="left"/>
      <w:pPr>
        <w:ind w:left="5154" w:hanging="360"/>
      </w:pPr>
      <w:rPr>
        <w:rFonts w:ascii="Symbol" w:hAnsi="Symbol" w:hint="default"/>
      </w:rPr>
    </w:lvl>
    <w:lvl w:ilvl="7" w:tplc="0C090003" w:tentative="1">
      <w:start w:val="1"/>
      <w:numFmt w:val="bullet"/>
      <w:lvlText w:val="o"/>
      <w:lvlJc w:val="left"/>
      <w:pPr>
        <w:ind w:left="5874" w:hanging="360"/>
      </w:pPr>
      <w:rPr>
        <w:rFonts w:ascii="Courier New" w:hAnsi="Courier New" w:cs="Courier New" w:hint="default"/>
      </w:rPr>
    </w:lvl>
    <w:lvl w:ilvl="8" w:tplc="0C090005" w:tentative="1">
      <w:start w:val="1"/>
      <w:numFmt w:val="bullet"/>
      <w:lvlText w:val=""/>
      <w:lvlJc w:val="left"/>
      <w:pPr>
        <w:ind w:left="6594" w:hanging="360"/>
      </w:pPr>
      <w:rPr>
        <w:rFonts w:ascii="Wingdings" w:hAnsi="Wingdings" w:hint="default"/>
      </w:rPr>
    </w:lvl>
  </w:abstractNum>
  <w:abstractNum w:abstractNumId="4" w15:restartNumberingAfterBreak="0">
    <w:nsid w:val="1C5658EC"/>
    <w:multiLevelType w:val="hybridMultilevel"/>
    <w:tmpl w:val="5D223462"/>
    <w:lvl w:ilvl="0" w:tplc="876497A6">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4E93944"/>
    <w:multiLevelType w:val="multilevel"/>
    <w:tmpl w:val="561CD30E"/>
    <w:styleLink w:val="NTGStandardList"/>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A59584B"/>
    <w:multiLevelType w:val="multilevel"/>
    <w:tmpl w:val="95661914"/>
    <w:styleLink w:val="NTGTableList"/>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7" w15:restartNumberingAfterBreak="0">
    <w:nsid w:val="2FDB2A07"/>
    <w:multiLevelType w:val="hybridMultilevel"/>
    <w:tmpl w:val="68DE8984"/>
    <w:lvl w:ilvl="0" w:tplc="53B0FC0E">
      <w:start w:val="1"/>
      <w:numFmt w:val="lowerRoman"/>
      <w:pStyle w:val="Style1"/>
      <w:lvlText w:val="%1."/>
      <w:lvlJc w:val="right"/>
      <w:pPr>
        <w:ind w:left="1097"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8" w15:restartNumberingAfterBreak="0">
    <w:nsid w:val="3386567B"/>
    <w:multiLevelType w:val="hybridMultilevel"/>
    <w:tmpl w:val="AF8627E4"/>
    <w:lvl w:ilvl="0" w:tplc="982E8FDA">
      <w:start w:val="1"/>
      <w:numFmt w:val="bullet"/>
      <w:pStyle w:val="TableListParagraph2"/>
      <w:lvlText w:val="o"/>
      <w:lvlJc w:val="left"/>
      <w:pPr>
        <w:ind w:left="1060" w:hanging="360"/>
      </w:pPr>
      <w:rPr>
        <w:rFonts w:ascii="Courier New" w:hAnsi="Courier New" w:cs="Courier New"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9" w15:restartNumberingAfterBreak="0">
    <w:nsid w:val="4030283B"/>
    <w:multiLevelType w:val="multilevel"/>
    <w:tmpl w:val="0C09001D"/>
    <w:styleLink w:val="Numberedstyle"/>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03B6923"/>
    <w:multiLevelType w:val="hybridMultilevel"/>
    <w:tmpl w:val="48126F7E"/>
    <w:lvl w:ilvl="0" w:tplc="108ADE96">
      <w:start w:val="1"/>
      <w:numFmt w:val="bullet"/>
      <w:pStyle w:val="TableListParagraph1"/>
      <w:lvlText w:val=""/>
      <w:lvlJc w:val="left"/>
      <w:pPr>
        <w:ind w:left="40" w:hanging="360"/>
      </w:pPr>
      <w:rPr>
        <w:rFonts w:ascii="Symbol" w:hAnsi="Symbol" w:hint="default"/>
      </w:rPr>
    </w:lvl>
    <w:lvl w:ilvl="1" w:tplc="0C090003">
      <w:start w:val="1"/>
      <w:numFmt w:val="bullet"/>
      <w:lvlText w:val="o"/>
      <w:lvlJc w:val="left"/>
      <w:pPr>
        <w:ind w:left="760" w:hanging="360"/>
      </w:pPr>
      <w:rPr>
        <w:rFonts w:ascii="Courier New" w:hAnsi="Courier New" w:cs="Courier New" w:hint="default"/>
      </w:rPr>
    </w:lvl>
    <w:lvl w:ilvl="2" w:tplc="0C090005" w:tentative="1">
      <w:start w:val="1"/>
      <w:numFmt w:val="bullet"/>
      <w:lvlText w:val=""/>
      <w:lvlJc w:val="left"/>
      <w:pPr>
        <w:ind w:left="1480" w:hanging="360"/>
      </w:pPr>
      <w:rPr>
        <w:rFonts w:ascii="Wingdings" w:hAnsi="Wingdings" w:hint="default"/>
      </w:rPr>
    </w:lvl>
    <w:lvl w:ilvl="3" w:tplc="0C090001" w:tentative="1">
      <w:start w:val="1"/>
      <w:numFmt w:val="bullet"/>
      <w:lvlText w:val=""/>
      <w:lvlJc w:val="left"/>
      <w:pPr>
        <w:ind w:left="2200" w:hanging="360"/>
      </w:pPr>
      <w:rPr>
        <w:rFonts w:ascii="Symbol" w:hAnsi="Symbol" w:hint="default"/>
      </w:rPr>
    </w:lvl>
    <w:lvl w:ilvl="4" w:tplc="0C090003" w:tentative="1">
      <w:start w:val="1"/>
      <w:numFmt w:val="bullet"/>
      <w:lvlText w:val="o"/>
      <w:lvlJc w:val="left"/>
      <w:pPr>
        <w:ind w:left="2920" w:hanging="360"/>
      </w:pPr>
      <w:rPr>
        <w:rFonts w:ascii="Courier New" w:hAnsi="Courier New" w:cs="Courier New" w:hint="default"/>
      </w:rPr>
    </w:lvl>
    <w:lvl w:ilvl="5" w:tplc="0C090005" w:tentative="1">
      <w:start w:val="1"/>
      <w:numFmt w:val="bullet"/>
      <w:lvlText w:val=""/>
      <w:lvlJc w:val="left"/>
      <w:pPr>
        <w:ind w:left="3640" w:hanging="360"/>
      </w:pPr>
      <w:rPr>
        <w:rFonts w:ascii="Wingdings" w:hAnsi="Wingdings" w:hint="default"/>
      </w:rPr>
    </w:lvl>
    <w:lvl w:ilvl="6" w:tplc="0C090001" w:tentative="1">
      <w:start w:val="1"/>
      <w:numFmt w:val="bullet"/>
      <w:lvlText w:val=""/>
      <w:lvlJc w:val="left"/>
      <w:pPr>
        <w:ind w:left="4360" w:hanging="360"/>
      </w:pPr>
      <w:rPr>
        <w:rFonts w:ascii="Symbol" w:hAnsi="Symbol" w:hint="default"/>
      </w:rPr>
    </w:lvl>
    <w:lvl w:ilvl="7" w:tplc="0C090003" w:tentative="1">
      <w:start w:val="1"/>
      <w:numFmt w:val="bullet"/>
      <w:lvlText w:val="o"/>
      <w:lvlJc w:val="left"/>
      <w:pPr>
        <w:ind w:left="5080" w:hanging="360"/>
      </w:pPr>
      <w:rPr>
        <w:rFonts w:ascii="Courier New" w:hAnsi="Courier New" w:cs="Courier New" w:hint="default"/>
      </w:rPr>
    </w:lvl>
    <w:lvl w:ilvl="8" w:tplc="0C090005" w:tentative="1">
      <w:start w:val="1"/>
      <w:numFmt w:val="bullet"/>
      <w:lvlText w:val=""/>
      <w:lvlJc w:val="left"/>
      <w:pPr>
        <w:ind w:left="5800" w:hanging="360"/>
      </w:pPr>
      <w:rPr>
        <w:rFonts w:ascii="Wingdings" w:hAnsi="Wingdings" w:hint="default"/>
      </w:rPr>
    </w:lvl>
  </w:abstractNum>
  <w:abstractNum w:abstractNumId="11" w15:restartNumberingAfterBreak="0">
    <w:nsid w:val="447D3B45"/>
    <w:multiLevelType w:val="hybridMultilevel"/>
    <w:tmpl w:val="A1805792"/>
    <w:lvl w:ilvl="0" w:tplc="7324CD46">
      <w:start w:val="1"/>
      <w:numFmt w:val="lowerLetter"/>
      <w:pStyle w:val="Style3"/>
      <w:lvlText w:val="%1)"/>
      <w:lvlJc w:val="left"/>
      <w:pPr>
        <w:ind w:left="1494" w:hanging="360"/>
      </w:p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12" w15:restartNumberingAfterBreak="0">
    <w:nsid w:val="46335E44"/>
    <w:multiLevelType w:val="multilevel"/>
    <w:tmpl w:val="53204A44"/>
    <w:styleLink w:val="NTGTableNum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0430650"/>
    <w:multiLevelType w:val="multilevel"/>
    <w:tmpl w:val="45A2D7CE"/>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14" w15:restartNumberingAfterBreak="0">
    <w:nsid w:val="754C236C"/>
    <w:multiLevelType w:val="hybridMultilevel"/>
    <w:tmpl w:val="54444F20"/>
    <w:lvl w:ilvl="0" w:tplc="0A969998">
      <w:start w:val="1"/>
      <w:numFmt w:val="lowerLetter"/>
      <w:pStyle w:val="Lett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9A75990"/>
    <w:multiLevelType w:val="multilevel"/>
    <w:tmpl w:val="B26693D2"/>
    <w:lvl w:ilvl="0">
      <w:start w:val="1"/>
      <w:numFmt w:val="lowerRoman"/>
      <w:pStyle w:val="NumberedPara"/>
      <w:lvlText w:val="%1."/>
      <w:lvlJc w:val="left"/>
      <w:pPr>
        <w:ind w:left="454" w:hanging="454"/>
      </w:pPr>
      <w:rPr>
        <w:rFonts w:hint="default"/>
      </w:rPr>
    </w:lvl>
    <w:lvl w:ilvl="1">
      <w:start w:val="1"/>
      <w:numFmt w:val="lowerLetter"/>
      <w:lvlText w:val="%2)"/>
      <w:lvlJc w:val="left"/>
      <w:pPr>
        <w:ind w:left="908" w:hanging="454"/>
      </w:pPr>
      <w:rPr>
        <w:rFonts w:hint="default"/>
      </w:rPr>
    </w:lvl>
    <w:lvl w:ilvl="2">
      <w:start w:val="1"/>
      <w:numFmt w:val="lowerRoman"/>
      <w:lvlText w:val="%3)"/>
      <w:lvlJc w:val="righ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6" w15:restartNumberingAfterBreak="0">
    <w:nsid w:val="79CC6470"/>
    <w:multiLevelType w:val="multilevel"/>
    <w:tmpl w:val="6150B3A6"/>
    <w:lvl w:ilvl="0">
      <w:start w:val="1"/>
      <w:numFmt w:val="decimal"/>
      <w:pStyle w:val="Heading1"/>
      <w:lvlText w:val="%1"/>
      <w:lvlJc w:val="left"/>
      <w:pPr>
        <w:ind w:left="432" w:hanging="432"/>
      </w:pPr>
      <w:rPr>
        <w:rFonts w:hint="default"/>
        <w:b/>
        <w:i w: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2280" w:hanging="720"/>
      </w:pPr>
      <w:rPr>
        <w:b/>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1148" w:hanging="864"/>
      </w:pPr>
      <w:rPr>
        <w:rFonts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7FBA5A06"/>
    <w:multiLevelType w:val="multilevel"/>
    <w:tmpl w:val="D6226722"/>
    <w:styleLink w:val="Style2"/>
    <w:lvl w:ilvl="0">
      <w:start w:val="1"/>
      <w:numFmt w:val="bullet"/>
      <w:lvlText w:val=""/>
      <w:lvlJc w:val="left"/>
      <w:pPr>
        <w:ind w:left="1352"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num w:numId="1">
    <w:abstractNumId w:val="5"/>
  </w:num>
  <w:num w:numId="2">
    <w:abstractNumId w:val="2"/>
  </w:num>
  <w:num w:numId="3">
    <w:abstractNumId w:val="1"/>
  </w:num>
  <w:num w:numId="4">
    <w:abstractNumId w:val="0"/>
  </w:num>
  <w:num w:numId="5">
    <w:abstractNumId w:val="10"/>
  </w:num>
  <w:num w:numId="6">
    <w:abstractNumId w:val="8"/>
  </w:num>
  <w:num w:numId="7">
    <w:abstractNumId w:val="17"/>
  </w:num>
  <w:num w:numId="8">
    <w:abstractNumId w:val="6"/>
  </w:num>
  <w:num w:numId="9">
    <w:abstractNumId w:val="12"/>
  </w:num>
  <w:num w:numId="10">
    <w:abstractNumId w:val="16"/>
  </w:num>
  <w:num w:numId="11">
    <w:abstractNumId w:val="4"/>
  </w:num>
  <w:num w:numId="12">
    <w:abstractNumId w:val="14"/>
  </w:num>
  <w:num w:numId="13">
    <w:abstractNumId w:val="3"/>
  </w:num>
  <w:num w:numId="14">
    <w:abstractNumId w:val="11"/>
  </w:num>
  <w:num w:numId="15">
    <w:abstractNumId w:val="7"/>
  </w:num>
  <w:num w:numId="16">
    <w:abstractNumId w:val="13"/>
  </w:num>
  <w:num w:numId="17">
    <w:abstractNumId w:val="9"/>
  </w:num>
  <w:num w:numId="18">
    <w:abstractNumId w:val="1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106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E07"/>
    <w:rsid w:val="00001665"/>
    <w:rsid w:val="000050A5"/>
    <w:rsid w:val="000064CC"/>
    <w:rsid w:val="0001749F"/>
    <w:rsid w:val="00020249"/>
    <w:rsid w:val="00021422"/>
    <w:rsid w:val="00021C54"/>
    <w:rsid w:val="00027D9F"/>
    <w:rsid w:val="00030C95"/>
    <w:rsid w:val="00031544"/>
    <w:rsid w:val="00031593"/>
    <w:rsid w:val="0003387A"/>
    <w:rsid w:val="00037236"/>
    <w:rsid w:val="000374B8"/>
    <w:rsid w:val="00044141"/>
    <w:rsid w:val="000442E5"/>
    <w:rsid w:val="00044860"/>
    <w:rsid w:val="0005581E"/>
    <w:rsid w:val="000579A7"/>
    <w:rsid w:val="000641EB"/>
    <w:rsid w:val="000659AD"/>
    <w:rsid w:val="00067F54"/>
    <w:rsid w:val="0007076E"/>
    <w:rsid w:val="00071D36"/>
    <w:rsid w:val="0007259C"/>
    <w:rsid w:val="00074240"/>
    <w:rsid w:val="00075D8F"/>
    <w:rsid w:val="000869B5"/>
    <w:rsid w:val="000A0C61"/>
    <w:rsid w:val="000A55BC"/>
    <w:rsid w:val="000B27C6"/>
    <w:rsid w:val="000B580E"/>
    <w:rsid w:val="000C21B3"/>
    <w:rsid w:val="000D3600"/>
    <w:rsid w:val="000D601D"/>
    <w:rsid w:val="000E2281"/>
    <w:rsid w:val="000E2477"/>
    <w:rsid w:val="000E3A0B"/>
    <w:rsid w:val="000E4DA4"/>
    <w:rsid w:val="000E538B"/>
    <w:rsid w:val="000E64AE"/>
    <w:rsid w:val="000E651C"/>
    <w:rsid w:val="000E749B"/>
    <w:rsid w:val="000F0145"/>
    <w:rsid w:val="000F1CDB"/>
    <w:rsid w:val="0010364F"/>
    <w:rsid w:val="00105433"/>
    <w:rsid w:val="001071EB"/>
    <w:rsid w:val="00107717"/>
    <w:rsid w:val="001131C9"/>
    <w:rsid w:val="00117743"/>
    <w:rsid w:val="00117F5B"/>
    <w:rsid w:val="00122FDD"/>
    <w:rsid w:val="00126ADB"/>
    <w:rsid w:val="00126E8C"/>
    <w:rsid w:val="001324D8"/>
    <w:rsid w:val="00132F92"/>
    <w:rsid w:val="00136C86"/>
    <w:rsid w:val="00137AA9"/>
    <w:rsid w:val="00146905"/>
    <w:rsid w:val="00146EF5"/>
    <w:rsid w:val="00150B00"/>
    <w:rsid w:val="001516EC"/>
    <w:rsid w:val="0015789F"/>
    <w:rsid w:val="001621A8"/>
    <w:rsid w:val="00163223"/>
    <w:rsid w:val="001636FF"/>
    <w:rsid w:val="001638F6"/>
    <w:rsid w:val="001669DD"/>
    <w:rsid w:val="00170BDA"/>
    <w:rsid w:val="0017601D"/>
    <w:rsid w:val="00180D67"/>
    <w:rsid w:val="00182B7A"/>
    <w:rsid w:val="00184F9F"/>
    <w:rsid w:val="0019248E"/>
    <w:rsid w:val="001A2B7F"/>
    <w:rsid w:val="001B00E6"/>
    <w:rsid w:val="001B47E3"/>
    <w:rsid w:val="001C4E85"/>
    <w:rsid w:val="001C6165"/>
    <w:rsid w:val="001D481A"/>
    <w:rsid w:val="001D6766"/>
    <w:rsid w:val="001D705C"/>
    <w:rsid w:val="001E00F8"/>
    <w:rsid w:val="001E2F4C"/>
    <w:rsid w:val="001E5ECE"/>
    <w:rsid w:val="001F139B"/>
    <w:rsid w:val="001F397D"/>
    <w:rsid w:val="00204C57"/>
    <w:rsid w:val="0020686A"/>
    <w:rsid w:val="00207B48"/>
    <w:rsid w:val="00210858"/>
    <w:rsid w:val="00211203"/>
    <w:rsid w:val="00215125"/>
    <w:rsid w:val="0021557D"/>
    <w:rsid w:val="00216DAC"/>
    <w:rsid w:val="00217D73"/>
    <w:rsid w:val="00221145"/>
    <w:rsid w:val="002213F4"/>
    <w:rsid w:val="00226738"/>
    <w:rsid w:val="0022771E"/>
    <w:rsid w:val="00227ADC"/>
    <w:rsid w:val="00230617"/>
    <w:rsid w:val="00234671"/>
    <w:rsid w:val="002369CD"/>
    <w:rsid w:val="00240B1D"/>
    <w:rsid w:val="00254570"/>
    <w:rsid w:val="00255F0F"/>
    <w:rsid w:val="00265121"/>
    <w:rsid w:val="0027218A"/>
    <w:rsid w:val="00272D80"/>
    <w:rsid w:val="00274F1C"/>
    <w:rsid w:val="00275213"/>
    <w:rsid w:val="002752D4"/>
    <w:rsid w:val="0027564F"/>
    <w:rsid w:val="0028248C"/>
    <w:rsid w:val="00287CA3"/>
    <w:rsid w:val="00293A72"/>
    <w:rsid w:val="002A3095"/>
    <w:rsid w:val="002A469D"/>
    <w:rsid w:val="002A57F2"/>
    <w:rsid w:val="002B3647"/>
    <w:rsid w:val="002B5C32"/>
    <w:rsid w:val="002B5FF8"/>
    <w:rsid w:val="002B6016"/>
    <w:rsid w:val="002B79DE"/>
    <w:rsid w:val="002C03E9"/>
    <w:rsid w:val="002C3C6A"/>
    <w:rsid w:val="002C6633"/>
    <w:rsid w:val="002D1DC9"/>
    <w:rsid w:val="002D348C"/>
    <w:rsid w:val="002D385E"/>
    <w:rsid w:val="002E3B83"/>
    <w:rsid w:val="002E6C40"/>
    <w:rsid w:val="002F0CDE"/>
    <w:rsid w:val="002F2885"/>
    <w:rsid w:val="00300510"/>
    <w:rsid w:val="00300680"/>
    <w:rsid w:val="00310930"/>
    <w:rsid w:val="00310B65"/>
    <w:rsid w:val="00311DF6"/>
    <w:rsid w:val="003141F5"/>
    <w:rsid w:val="0032424B"/>
    <w:rsid w:val="00324FA7"/>
    <w:rsid w:val="003259BE"/>
    <w:rsid w:val="00331A0D"/>
    <w:rsid w:val="0033448F"/>
    <w:rsid w:val="0034086C"/>
    <w:rsid w:val="00342283"/>
    <w:rsid w:val="00343B02"/>
    <w:rsid w:val="0034463B"/>
    <w:rsid w:val="0034713C"/>
    <w:rsid w:val="00347352"/>
    <w:rsid w:val="003502AF"/>
    <w:rsid w:val="003526F4"/>
    <w:rsid w:val="00353ECE"/>
    <w:rsid w:val="00354E47"/>
    <w:rsid w:val="00355248"/>
    <w:rsid w:val="00362D35"/>
    <w:rsid w:val="00365896"/>
    <w:rsid w:val="0036601D"/>
    <w:rsid w:val="00370752"/>
    <w:rsid w:val="003709CE"/>
    <w:rsid w:val="003758FE"/>
    <w:rsid w:val="00375DE4"/>
    <w:rsid w:val="00390044"/>
    <w:rsid w:val="00391402"/>
    <w:rsid w:val="0039358E"/>
    <w:rsid w:val="00394AAF"/>
    <w:rsid w:val="003C28E8"/>
    <w:rsid w:val="003C2B69"/>
    <w:rsid w:val="003C5418"/>
    <w:rsid w:val="003C66A4"/>
    <w:rsid w:val="003C77BD"/>
    <w:rsid w:val="003D0E7C"/>
    <w:rsid w:val="003D1543"/>
    <w:rsid w:val="003D175E"/>
    <w:rsid w:val="003D2E72"/>
    <w:rsid w:val="003D5DCE"/>
    <w:rsid w:val="003D5EF1"/>
    <w:rsid w:val="003E089B"/>
    <w:rsid w:val="003E314A"/>
    <w:rsid w:val="003E609D"/>
    <w:rsid w:val="003F0BAA"/>
    <w:rsid w:val="003F74AF"/>
    <w:rsid w:val="00400524"/>
    <w:rsid w:val="0040222A"/>
    <w:rsid w:val="004047BC"/>
    <w:rsid w:val="00404B85"/>
    <w:rsid w:val="00405470"/>
    <w:rsid w:val="004058BC"/>
    <w:rsid w:val="00407CDD"/>
    <w:rsid w:val="00410CF8"/>
    <w:rsid w:val="00411DF9"/>
    <w:rsid w:val="00412C0B"/>
    <w:rsid w:val="00415222"/>
    <w:rsid w:val="0041634E"/>
    <w:rsid w:val="0041782A"/>
    <w:rsid w:val="00420C06"/>
    <w:rsid w:val="0042197E"/>
    <w:rsid w:val="0042205C"/>
    <w:rsid w:val="00426E25"/>
    <w:rsid w:val="00427136"/>
    <w:rsid w:val="00431A45"/>
    <w:rsid w:val="004350A7"/>
    <w:rsid w:val="00442FB4"/>
    <w:rsid w:val="00445D93"/>
    <w:rsid w:val="00452631"/>
    <w:rsid w:val="00452D4B"/>
    <w:rsid w:val="00455F7D"/>
    <w:rsid w:val="00456351"/>
    <w:rsid w:val="004569A0"/>
    <w:rsid w:val="004608A1"/>
    <w:rsid w:val="004611EE"/>
    <w:rsid w:val="00463FFC"/>
    <w:rsid w:val="00473871"/>
    <w:rsid w:val="004758D5"/>
    <w:rsid w:val="0049610D"/>
    <w:rsid w:val="0049621A"/>
    <w:rsid w:val="004A097C"/>
    <w:rsid w:val="004A1318"/>
    <w:rsid w:val="004A5828"/>
    <w:rsid w:val="004A5AC6"/>
    <w:rsid w:val="004B2208"/>
    <w:rsid w:val="004B2CE3"/>
    <w:rsid w:val="004B56D0"/>
    <w:rsid w:val="004B79F1"/>
    <w:rsid w:val="004C1D5E"/>
    <w:rsid w:val="004D538E"/>
    <w:rsid w:val="004E1783"/>
    <w:rsid w:val="004E7D04"/>
    <w:rsid w:val="004F018F"/>
    <w:rsid w:val="004F1EA5"/>
    <w:rsid w:val="004F3A84"/>
    <w:rsid w:val="004F5154"/>
    <w:rsid w:val="004F5FB8"/>
    <w:rsid w:val="005026EE"/>
    <w:rsid w:val="00504446"/>
    <w:rsid w:val="00505184"/>
    <w:rsid w:val="0050585D"/>
    <w:rsid w:val="00506F94"/>
    <w:rsid w:val="00507782"/>
    <w:rsid w:val="00512A04"/>
    <w:rsid w:val="00513D5B"/>
    <w:rsid w:val="00517D7A"/>
    <w:rsid w:val="0052070B"/>
    <w:rsid w:val="00522C01"/>
    <w:rsid w:val="0052441C"/>
    <w:rsid w:val="00525A63"/>
    <w:rsid w:val="00525EB8"/>
    <w:rsid w:val="00530693"/>
    <w:rsid w:val="0054215A"/>
    <w:rsid w:val="00544B7C"/>
    <w:rsid w:val="00550F98"/>
    <w:rsid w:val="005518B2"/>
    <w:rsid w:val="00552DC3"/>
    <w:rsid w:val="00555B62"/>
    <w:rsid w:val="0055699A"/>
    <w:rsid w:val="005570C9"/>
    <w:rsid w:val="00561AF7"/>
    <w:rsid w:val="00563B18"/>
    <w:rsid w:val="005654B8"/>
    <w:rsid w:val="0056601F"/>
    <w:rsid w:val="005666BC"/>
    <w:rsid w:val="0056691F"/>
    <w:rsid w:val="00576314"/>
    <w:rsid w:val="005770B9"/>
    <w:rsid w:val="005801A9"/>
    <w:rsid w:val="00582F6D"/>
    <w:rsid w:val="00584F5C"/>
    <w:rsid w:val="0058594A"/>
    <w:rsid w:val="00585F91"/>
    <w:rsid w:val="00592014"/>
    <w:rsid w:val="00592F52"/>
    <w:rsid w:val="00593EB6"/>
    <w:rsid w:val="005A0CC8"/>
    <w:rsid w:val="005A7A8F"/>
    <w:rsid w:val="005B4B80"/>
    <w:rsid w:val="005B5AC2"/>
    <w:rsid w:val="005B77FD"/>
    <w:rsid w:val="005C1413"/>
    <w:rsid w:val="005C17E4"/>
    <w:rsid w:val="005C57DE"/>
    <w:rsid w:val="005D269A"/>
    <w:rsid w:val="005D2845"/>
    <w:rsid w:val="005D2DF6"/>
    <w:rsid w:val="005D3825"/>
    <w:rsid w:val="005D6BD7"/>
    <w:rsid w:val="005E05CA"/>
    <w:rsid w:val="005E2F53"/>
    <w:rsid w:val="005E3A68"/>
    <w:rsid w:val="005E540C"/>
    <w:rsid w:val="005E6AF0"/>
    <w:rsid w:val="005F28F4"/>
    <w:rsid w:val="005F7BB7"/>
    <w:rsid w:val="00603330"/>
    <w:rsid w:val="0060729C"/>
    <w:rsid w:val="00611486"/>
    <w:rsid w:val="006137CF"/>
    <w:rsid w:val="00615CB9"/>
    <w:rsid w:val="0062147A"/>
    <w:rsid w:val="00622C25"/>
    <w:rsid w:val="0062572E"/>
    <w:rsid w:val="00625C16"/>
    <w:rsid w:val="006279A6"/>
    <w:rsid w:val="006307BC"/>
    <w:rsid w:val="00630CB2"/>
    <w:rsid w:val="00631EB0"/>
    <w:rsid w:val="006324C4"/>
    <w:rsid w:val="0063341B"/>
    <w:rsid w:val="00634329"/>
    <w:rsid w:val="0063577D"/>
    <w:rsid w:val="00640FC1"/>
    <w:rsid w:val="006471CC"/>
    <w:rsid w:val="00650F5B"/>
    <w:rsid w:val="00653FC6"/>
    <w:rsid w:val="00654717"/>
    <w:rsid w:val="00654E9A"/>
    <w:rsid w:val="00656FE0"/>
    <w:rsid w:val="00657A77"/>
    <w:rsid w:val="006621DD"/>
    <w:rsid w:val="0066425C"/>
    <w:rsid w:val="00664D41"/>
    <w:rsid w:val="00671027"/>
    <w:rsid w:val="006719EA"/>
    <w:rsid w:val="00672201"/>
    <w:rsid w:val="00673D4E"/>
    <w:rsid w:val="00675005"/>
    <w:rsid w:val="00677009"/>
    <w:rsid w:val="0068187F"/>
    <w:rsid w:val="006833F8"/>
    <w:rsid w:val="00687540"/>
    <w:rsid w:val="006927B6"/>
    <w:rsid w:val="00695664"/>
    <w:rsid w:val="006958D1"/>
    <w:rsid w:val="0069742C"/>
    <w:rsid w:val="006A35F1"/>
    <w:rsid w:val="006A3701"/>
    <w:rsid w:val="006A769B"/>
    <w:rsid w:val="006B3D31"/>
    <w:rsid w:val="006B74F9"/>
    <w:rsid w:val="006B7A4C"/>
    <w:rsid w:val="006C1156"/>
    <w:rsid w:val="006C20AB"/>
    <w:rsid w:val="006C391B"/>
    <w:rsid w:val="006D3E92"/>
    <w:rsid w:val="006D420E"/>
    <w:rsid w:val="006D475B"/>
    <w:rsid w:val="006E1297"/>
    <w:rsid w:val="006E2015"/>
    <w:rsid w:val="006E6D06"/>
    <w:rsid w:val="006F18EB"/>
    <w:rsid w:val="007034C7"/>
    <w:rsid w:val="00704D6A"/>
    <w:rsid w:val="00704FDF"/>
    <w:rsid w:val="00705033"/>
    <w:rsid w:val="007053D7"/>
    <w:rsid w:val="00715C9E"/>
    <w:rsid w:val="00722DDB"/>
    <w:rsid w:val="00723101"/>
    <w:rsid w:val="007253A7"/>
    <w:rsid w:val="007263A4"/>
    <w:rsid w:val="0072664A"/>
    <w:rsid w:val="00731FA1"/>
    <w:rsid w:val="00734655"/>
    <w:rsid w:val="00736E66"/>
    <w:rsid w:val="007408F5"/>
    <w:rsid w:val="007503C8"/>
    <w:rsid w:val="00751BE4"/>
    <w:rsid w:val="00754D68"/>
    <w:rsid w:val="00762C0F"/>
    <w:rsid w:val="0076484E"/>
    <w:rsid w:val="00764C50"/>
    <w:rsid w:val="00775AA2"/>
    <w:rsid w:val="007801CF"/>
    <w:rsid w:val="007819DB"/>
    <w:rsid w:val="00781DC3"/>
    <w:rsid w:val="00782044"/>
    <w:rsid w:val="0079238B"/>
    <w:rsid w:val="00795399"/>
    <w:rsid w:val="0079605E"/>
    <w:rsid w:val="007A05D6"/>
    <w:rsid w:val="007A0FAE"/>
    <w:rsid w:val="007A3E91"/>
    <w:rsid w:val="007A6554"/>
    <w:rsid w:val="007B2A4D"/>
    <w:rsid w:val="007B4F74"/>
    <w:rsid w:val="007B5415"/>
    <w:rsid w:val="007C39D0"/>
    <w:rsid w:val="007C7ECC"/>
    <w:rsid w:val="007D1A0C"/>
    <w:rsid w:val="007D304A"/>
    <w:rsid w:val="007D7594"/>
    <w:rsid w:val="007D7E7C"/>
    <w:rsid w:val="007E1AB8"/>
    <w:rsid w:val="007E20B5"/>
    <w:rsid w:val="007E4A26"/>
    <w:rsid w:val="007F1A1F"/>
    <w:rsid w:val="007F5861"/>
    <w:rsid w:val="00800CDB"/>
    <w:rsid w:val="008021DF"/>
    <w:rsid w:val="00803C1B"/>
    <w:rsid w:val="008054B6"/>
    <w:rsid w:val="0080627E"/>
    <w:rsid w:val="00806388"/>
    <w:rsid w:val="00806800"/>
    <w:rsid w:val="00812554"/>
    <w:rsid w:val="00820ED1"/>
    <w:rsid w:val="0082243B"/>
    <w:rsid w:val="00822EBC"/>
    <w:rsid w:val="008232CF"/>
    <w:rsid w:val="008241F6"/>
    <w:rsid w:val="008249DC"/>
    <w:rsid w:val="0082601D"/>
    <w:rsid w:val="008313C4"/>
    <w:rsid w:val="00832C0E"/>
    <w:rsid w:val="00834189"/>
    <w:rsid w:val="00834F58"/>
    <w:rsid w:val="00840B05"/>
    <w:rsid w:val="00845863"/>
    <w:rsid w:val="0085153F"/>
    <w:rsid w:val="00854E23"/>
    <w:rsid w:val="00855D46"/>
    <w:rsid w:val="00861DC3"/>
    <w:rsid w:val="00862018"/>
    <w:rsid w:val="008759FC"/>
    <w:rsid w:val="00875B49"/>
    <w:rsid w:val="00877053"/>
    <w:rsid w:val="00877C1A"/>
    <w:rsid w:val="008832A0"/>
    <w:rsid w:val="00892CF2"/>
    <w:rsid w:val="0089705F"/>
    <w:rsid w:val="008A1324"/>
    <w:rsid w:val="008A2BC9"/>
    <w:rsid w:val="008A4564"/>
    <w:rsid w:val="008A70AD"/>
    <w:rsid w:val="008B3BCF"/>
    <w:rsid w:val="008B419E"/>
    <w:rsid w:val="008C1FC0"/>
    <w:rsid w:val="008C2E9C"/>
    <w:rsid w:val="008D01A9"/>
    <w:rsid w:val="008D4255"/>
    <w:rsid w:val="008D4775"/>
    <w:rsid w:val="008F1983"/>
    <w:rsid w:val="008F3330"/>
    <w:rsid w:val="008F3628"/>
    <w:rsid w:val="008F7F52"/>
    <w:rsid w:val="009036A6"/>
    <w:rsid w:val="00904020"/>
    <w:rsid w:val="009053EE"/>
    <w:rsid w:val="00911DEF"/>
    <w:rsid w:val="00915310"/>
    <w:rsid w:val="00917D3A"/>
    <w:rsid w:val="00920DDB"/>
    <w:rsid w:val="00930CF7"/>
    <w:rsid w:val="00932176"/>
    <w:rsid w:val="00933F01"/>
    <w:rsid w:val="009373D5"/>
    <w:rsid w:val="00943840"/>
    <w:rsid w:val="00944714"/>
    <w:rsid w:val="00951372"/>
    <w:rsid w:val="009538CF"/>
    <w:rsid w:val="009616DF"/>
    <w:rsid w:val="00963C1C"/>
    <w:rsid w:val="00964F84"/>
    <w:rsid w:val="0096528F"/>
    <w:rsid w:val="0097266B"/>
    <w:rsid w:val="0097332A"/>
    <w:rsid w:val="00976C6E"/>
    <w:rsid w:val="00985AE2"/>
    <w:rsid w:val="00985BF6"/>
    <w:rsid w:val="00990EDF"/>
    <w:rsid w:val="00993C8E"/>
    <w:rsid w:val="00997899"/>
    <w:rsid w:val="009978A0"/>
    <w:rsid w:val="009A25A1"/>
    <w:rsid w:val="009A4104"/>
    <w:rsid w:val="009A58FE"/>
    <w:rsid w:val="009A7587"/>
    <w:rsid w:val="009B7033"/>
    <w:rsid w:val="009B7DBD"/>
    <w:rsid w:val="009D0EF7"/>
    <w:rsid w:val="009D29DF"/>
    <w:rsid w:val="009D3051"/>
    <w:rsid w:val="009D5820"/>
    <w:rsid w:val="009D6559"/>
    <w:rsid w:val="009E175D"/>
    <w:rsid w:val="009E23EB"/>
    <w:rsid w:val="009E392B"/>
    <w:rsid w:val="009F1594"/>
    <w:rsid w:val="009F78FB"/>
    <w:rsid w:val="00A06508"/>
    <w:rsid w:val="00A06589"/>
    <w:rsid w:val="00A06F2A"/>
    <w:rsid w:val="00A1106B"/>
    <w:rsid w:val="00A14856"/>
    <w:rsid w:val="00A16E9D"/>
    <w:rsid w:val="00A2042D"/>
    <w:rsid w:val="00A23E25"/>
    <w:rsid w:val="00A24C50"/>
    <w:rsid w:val="00A2555B"/>
    <w:rsid w:val="00A2573A"/>
    <w:rsid w:val="00A27242"/>
    <w:rsid w:val="00A3739D"/>
    <w:rsid w:val="00A37DDA"/>
    <w:rsid w:val="00A420F3"/>
    <w:rsid w:val="00A42D4E"/>
    <w:rsid w:val="00A45F95"/>
    <w:rsid w:val="00A46F78"/>
    <w:rsid w:val="00A50834"/>
    <w:rsid w:val="00A53808"/>
    <w:rsid w:val="00A5619D"/>
    <w:rsid w:val="00A65B0C"/>
    <w:rsid w:val="00A65B41"/>
    <w:rsid w:val="00A7746C"/>
    <w:rsid w:val="00A81110"/>
    <w:rsid w:val="00A90ED5"/>
    <w:rsid w:val="00A925EC"/>
    <w:rsid w:val="00A9455E"/>
    <w:rsid w:val="00A9508D"/>
    <w:rsid w:val="00AA41A7"/>
    <w:rsid w:val="00AA4961"/>
    <w:rsid w:val="00AA7A32"/>
    <w:rsid w:val="00AB2540"/>
    <w:rsid w:val="00AC05E3"/>
    <w:rsid w:val="00AC710E"/>
    <w:rsid w:val="00AD55EA"/>
    <w:rsid w:val="00AD5654"/>
    <w:rsid w:val="00AD700E"/>
    <w:rsid w:val="00AE08C5"/>
    <w:rsid w:val="00AE155F"/>
    <w:rsid w:val="00AF3FDB"/>
    <w:rsid w:val="00AF7BB4"/>
    <w:rsid w:val="00B023A1"/>
    <w:rsid w:val="00B0542E"/>
    <w:rsid w:val="00B10B34"/>
    <w:rsid w:val="00B11386"/>
    <w:rsid w:val="00B15FE4"/>
    <w:rsid w:val="00B20B5E"/>
    <w:rsid w:val="00B21E5D"/>
    <w:rsid w:val="00B30E26"/>
    <w:rsid w:val="00B31014"/>
    <w:rsid w:val="00B343CC"/>
    <w:rsid w:val="00B34681"/>
    <w:rsid w:val="00B346AE"/>
    <w:rsid w:val="00B36316"/>
    <w:rsid w:val="00B42873"/>
    <w:rsid w:val="00B43C6B"/>
    <w:rsid w:val="00B52FFB"/>
    <w:rsid w:val="00B54A23"/>
    <w:rsid w:val="00B611F9"/>
    <w:rsid w:val="00B61B26"/>
    <w:rsid w:val="00B62007"/>
    <w:rsid w:val="00B65426"/>
    <w:rsid w:val="00B70CA7"/>
    <w:rsid w:val="00B7558F"/>
    <w:rsid w:val="00B80687"/>
    <w:rsid w:val="00B8120F"/>
    <w:rsid w:val="00B8229A"/>
    <w:rsid w:val="00B826FE"/>
    <w:rsid w:val="00B913FF"/>
    <w:rsid w:val="00BA3616"/>
    <w:rsid w:val="00BA52EC"/>
    <w:rsid w:val="00BB18BB"/>
    <w:rsid w:val="00BB2406"/>
    <w:rsid w:val="00BB30EC"/>
    <w:rsid w:val="00BB548E"/>
    <w:rsid w:val="00BB6464"/>
    <w:rsid w:val="00BD11BF"/>
    <w:rsid w:val="00BD14CE"/>
    <w:rsid w:val="00BD4342"/>
    <w:rsid w:val="00BD4676"/>
    <w:rsid w:val="00BE41AF"/>
    <w:rsid w:val="00BE57AE"/>
    <w:rsid w:val="00BF5EB6"/>
    <w:rsid w:val="00C04CB9"/>
    <w:rsid w:val="00C10CAE"/>
    <w:rsid w:val="00C11249"/>
    <w:rsid w:val="00C13505"/>
    <w:rsid w:val="00C13945"/>
    <w:rsid w:val="00C22EB4"/>
    <w:rsid w:val="00C30258"/>
    <w:rsid w:val="00C31BA1"/>
    <w:rsid w:val="00C40DBF"/>
    <w:rsid w:val="00C4280D"/>
    <w:rsid w:val="00C42979"/>
    <w:rsid w:val="00C43455"/>
    <w:rsid w:val="00C43EA1"/>
    <w:rsid w:val="00C47E22"/>
    <w:rsid w:val="00C51C12"/>
    <w:rsid w:val="00C5314E"/>
    <w:rsid w:val="00C54170"/>
    <w:rsid w:val="00C5542B"/>
    <w:rsid w:val="00C619DA"/>
    <w:rsid w:val="00C62099"/>
    <w:rsid w:val="00C62903"/>
    <w:rsid w:val="00C62B89"/>
    <w:rsid w:val="00C64354"/>
    <w:rsid w:val="00C7006E"/>
    <w:rsid w:val="00C70932"/>
    <w:rsid w:val="00C71EA8"/>
    <w:rsid w:val="00C73DFF"/>
    <w:rsid w:val="00C756B9"/>
    <w:rsid w:val="00C75E81"/>
    <w:rsid w:val="00C83B4F"/>
    <w:rsid w:val="00C86839"/>
    <w:rsid w:val="00C90DEB"/>
    <w:rsid w:val="00C93A4E"/>
    <w:rsid w:val="00CA3B32"/>
    <w:rsid w:val="00CB36E0"/>
    <w:rsid w:val="00CC7DEB"/>
    <w:rsid w:val="00CD3B9F"/>
    <w:rsid w:val="00CD4A6E"/>
    <w:rsid w:val="00CD72FE"/>
    <w:rsid w:val="00CE03FE"/>
    <w:rsid w:val="00CE1E9F"/>
    <w:rsid w:val="00CF0708"/>
    <w:rsid w:val="00D019B6"/>
    <w:rsid w:val="00D02303"/>
    <w:rsid w:val="00D02FD1"/>
    <w:rsid w:val="00D051A6"/>
    <w:rsid w:val="00D118D0"/>
    <w:rsid w:val="00D12B4B"/>
    <w:rsid w:val="00D13847"/>
    <w:rsid w:val="00D13A73"/>
    <w:rsid w:val="00D145EA"/>
    <w:rsid w:val="00D211FA"/>
    <w:rsid w:val="00D23DDD"/>
    <w:rsid w:val="00D24322"/>
    <w:rsid w:val="00D2523A"/>
    <w:rsid w:val="00D31094"/>
    <w:rsid w:val="00D332F1"/>
    <w:rsid w:val="00D421A1"/>
    <w:rsid w:val="00D44EAF"/>
    <w:rsid w:val="00D4676E"/>
    <w:rsid w:val="00D50356"/>
    <w:rsid w:val="00D52CFC"/>
    <w:rsid w:val="00D531BD"/>
    <w:rsid w:val="00D5347F"/>
    <w:rsid w:val="00D60A3D"/>
    <w:rsid w:val="00D6238F"/>
    <w:rsid w:val="00D71FC9"/>
    <w:rsid w:val="00D77D62"/>
    <w:rsid w:val="00D86788"/>
    <w:rsid w:val="00D8733E"/>
    <w:rsid w:val="00D92A16"/>
    <w:rsid w:val="00D931FF"/>
    <w:rsid w:val="00D96470"/>
    <w:rsid w:val="00D975C0"/>
    <w:rsid w:val="00DA0997"/>
    <w:rsid w:val="00DA3ACE"/>
    <w:rsid w:val="00DB14CD"/>
    <w:rsid w:val="00DB152C"/>
    <w:rsid w:val="00DB244E"/>
    <w:rsid w:val="00DB7E5B"/>
    <w:rsid w:val="00DC039E"/>
    <w:rsid w:val="00DC42E6"/>
    <w:rsid w:val="00DC5DD9"/>
    <w:rsid w:val="00DD090F"/>
    <w:rsid w:val="00DD2A20"/>
    <w:rsid w:val="00DD5063"/>
    <w:rsid w:val="00DE2CB5"/>
    <w:rsid w:val="00DF0487"/>
    <w:rsid w:val="00DF2E19"/>
    <w:rsid w:val="00DF2E69"/>
    <w:rsid w:val="00DF43E8"/>
    <w:rsid w:val="00DF4919"/>
    <w:rsid w:val="00E014B8"/>
    <w:rsid w:val="00E14AE0"/>
    <w:rsid w:val="00E14B02"/>
    <w:rsid w:val="00E159DD"/>
    <w:rsid w:val="00E15DAF"/>
    <w:rsid w:val="00E15FFD"/>
    <w:rsid w:val="00E168D8"/>
    <w:rsid w:val="00E218F2"/>
    <w:rsid w:val="00E21E07"/>
    <w:rsid w:val="00E26295"/>
    <w:rsid w:val="00E2785C"/>
    <w:rsid w:val="00E34BFA"/>
    <w:rsid w:val="00E36A00"/>
    <w:rsid w:val="00E4088F"/>
    <w:rsid w:val="00E42353"/>
    <w:rsid w:val="00E42488"/>
    <w:rsid w:val="00E54B6C"/>
    <w:rsid w:val="00E566A9"/>
    <w:rsid w:val="00E60EEE"/>
    <w:rsid w:val="00E72867"/>
    <w:rsid w:val="00E73134"/>
    <w:rsid w:val="00E74939"/>
    <w:rsid w:val="00E76D70"/>
    <w:rsid w:val="00E80D79"/>
    <w:rsid w:val="00E81F41"/>
    <w:rsid w:val="00E85523"/>
    <w:rsid w:val="00E85C69"/>
    <w:rsid w:val="00E867A6"/>
    <w:rsid w:val="00E910F9"/>
    <w:rsid w:val="00E928E2"/>
    <w:rsid w:val="00E97550"/>
    <w:rsid w:val="00EA03A2"/>
    <w:rsid w:val="00EA3C81"/>
    <w:rsid w:val="00EA522A"/>
    <w:rsid w:val="00EA63E4"/>
    <w:rsid w:val="00EB1AC7"/>
    <w:rsid w:val="00EB59A5"/>
    <w:rsid w:val="00EB79D1"/>
    <w:rsid w:val="00EC30C1"/>
    <w:rsid w:val="00EC37C5"/>
    <w:rsid w:val="00EC59E3"/>
    <w:rsid w:val="00EC5D8E"/>
    <w:rsid w:val="00ED20CF"/>
    <w:rsid w:val="00ED2A9D"/>
    <w:rsid w:val="00ED7580"/>
    <w:rsid w:val="00EF0F04"/>
    <w:rsid w:val="00F02FB6"/>
    <w:rsid w:val="00F04113"/>
    <w:rsid w:val="00F077DC"/>
    <w:rsid w:val="00F27345"/>
    <w:rsid w:val="00F43242"/>
    <w:rsid w:val="00F44C03"/>
    <w:rsid w:val="00F525E6"/>
    <w:rsid w:val="00F5306E"/>
    <w:rsid w:val="00F5344D"/>
    <w:rsid w:val="00F53607"/>
    <w:rsid w:val="00F56C92"/>
    <w:rsid w:val="00F60011"/>
    <w:rsid w:val="00F631D2"/>
    <w:rsid w:val="00F6492F"/>
    <w:rsid w:val="00F66350"/>
    <w:rsid w:val="00F66A29"/>
    <w:rsid w:val="00F778CF"/>
    <w:rsid w:val="00F77DA4"/>
    <w:rsid w:val="00F80070"/>
    <w:rsid w:val="00F9503F"/>
    <w:rsid w:val="00FA19E4"/>
    <w:rsid w:val="00FA2EAB"/>
    <w:rsid w:val="00FA6D3D"/>
    <w:rsid w:val="00FA7E1F"/>
    <w:rsid w:val="00FB0011"/>
    <w:rsid w:val="00FB2988"/>
    <w:rsid w:val="00FB3109"/>
    <w:rsid w:val="00FB4BA1"/>
    <w:rsid w:val="00FB5692"/>
    <w:rsid w:val="00FB62B0"/>
    <w:rsid w:val="00FB7548"/>
    <w:rsid w:val="00FC281B"/>
    <w:rsid w:val="00FC4C36"/>
    <w:rsid w:val="00FC5A80"/>
    <w:rsid w:val="00FC6C12"/>
    <w:rsid w:val="00FD32F7"/>
    <w:rsid w:val="00FD47C6"/>
    <w:rsid w:val="00FD5F46"/>
    <w:rsid w:val="00FE26F3"/>
    <w:rsid w:val="00FE33B2"/>
    <w:rsid w:val="00FE6996"/>
    <w:rsid w:val="00FF302D"/>
    <w:rsid w:val="00FF6CE7"/>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A253DF-23E8-4DCC-9AC2-8C0D79E75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0510"/>
    <w:pPr>
      <w:spacing w:after="200"/>
    </w:pPr>
  </w:style>
  <w:style w:type="paragraph" w:styleId="Heading1">
    <w:name w:val="heading 1"/>
    <w:basedOn w:val="Normal"/>
    <w:next w:val="BlockText"/>
    <w:link w:val="Heading1Char"/>
    <w:uiPriority w:val="1"/>
    <w:qFormat/>
    <w:rsid w:val="00672201"/>
    <w:pPr>
      <w:keepNext/>
      <w:numPr>
        <w:numId w:val="10"/>
      </w:numPr>
      <w:spacing w:before="240"/>
      <w:ind w:left="567" w:hanging="567"/>
      <w:outlineLvl w:val="0"/>
    </w:pPr>
    <w:rPr>
      <w:rFonts w:eastAsiaTheme="majorEastAsia" w:cstheme="majorBidi"/>
      <w:b/>
      <w:bCs/>
      <w:kern w:val="32"/>
      <w:sz w:val="36"/>
      <w:szCs w:val="36"/>
    </w:rPr>
  </w:style>
  <w:style w:type="paragraph" w:styleId="Heading2">
    <w:name w:val="heading 2"/>
    <w:basedOn w:val="Normal"/>
    <w:next w:val="BlockText"/>
    <w:link w:val="Heading2Char"/>
    <w:uiPriority w:val="1"/>
    <w:qFormat/>
    <w:rsid w:val="00672201"/>
    <w:pPr>
      <w:keepNext/>
      <w:numPr>
        <w:ilvl w:val="1"/>
        <w:numId w:val="10"/>
      </w:numPr>
      <w:spacing w:before="240"/>
      <w:ind w:left="851" w:hanging="851"/>
      <w:outlineLvl w:val="1"/>
    </w:pPr>
    <w:rPr>
      <w:rFonts w:eastAsiaTheme="majorEastAsia" w:cstheme="majorBidi"/>
      <w:b/>
      <w:bCs/>
      <w:iCs/>
      <w:color w:val="606060"/>
      <w:sz w:val="32"/>
      <w:szCs w:val="32"/>
    </w:rPr>
  </w:style>
  <w:style w:type="paragraph" w:styleId="Heading3">
    <w:name w:val="heading 3"/>
    <w:basedOn w:val="Normal"/>
    <w:next w:val="BlockText"/>
    <w:link w:val="Heading3Char"/>
    <w:uiPriority w:val="1"/>
    <w:qFormat/>
    <w:rsid w:val="00B70CA7"/>
    <w:pPr>
      <w:keepNext/>
      <w:numPr>
        <w:ilvl w:val="2"/>
        <w:numId w:val="10"/>
      </w:numPr>
      <w:spacing w:before="240"/>
      <w:ind w:left="992" w:hanging="992"/>
      <w:outlineLvl w:val="2"/>
    </w:pPr>
    <w:rPr>
      <w:rFonts w:cs="Arial"/>
      <w:b/>
      <w:bCs/>
      <w:sz w:val="28"/>
      <w:szCs w:val="28"/>
    </w:rPr>
  </w:style>
  <w:style w:type="paragraph" w:styleId="Heading4">
    <w:name w:val="heading 4"/>
    <w:basedOn w:val="Normal"/>
    <w:next w:val="BlockText"/>
    <w:link w:val="Heading4Char"/>
    <w:uiPriority w:val="1"/>
    <w:qFormat/>
    <w:rsid w:val="0027218A"/>
    <w:pPr>
      <w:widowControl w:val="0"/>
      <w:numPr>
        <w:ilvl w:val="3"/>
        <w:numId w:val="10"/>
      </w:numPr>
      <w:pBdr>
        <w:top w:val="single" w:sz="4" w:space="8" w:color="auto"/>
        <w:left w:val="single" w:sz="4" w:space="4" w:color="auto"/>
        <w:bottom w:val="single" w:sz="4" w:space="8" w:color="auto"/>
        <w:right w:val="single" w:sz="4" w:space="4" w:color="auto"/>
      </w:pBdr>
      <w:spacing w:after="240"/>
      <w:ind w:left="993" w:hanging="993"/>
      <w:outlineLvl w:val="3"/>
    </w:pPr>
    <w:rPr>
      <w:rFonts w:cs="Arial"/>
      <w:b/>
      <w:bCs/>
      <w:szCs w:val="26"/>
    </w:rPr>
  </w:style>
  <w:style w:type="paragraph" w:styleId="Heading5">
    <w:name w:val="heading 5"/>
    <w:basedOn w:val="Normal"/>
    <w:next w:val="BlockText"/>
    <w:link w:val="Heading5Char"/>
    <w:uiPriority w:val="9"/>
    <w:rsid w:val="008054B6"/>
    <w:pPr>
      <w:keepNext/>
      <w:numPr>
        <w:ilvl w:val="4"/>
        <w:numId w:val="10"/>
      </w:numPr>
      <w:outlineLvl w:val="4"/>
    </w:pPr>
    <w:rPr>
      <w:b/>
      <w:color w:val="000000" w:themeColor="text1"/>
    </w:rPr>
  </w:style>
  <w:style w:type="paragraph" w:styleId="Heading6">
    <w:name w:val="heading 6"/>
    <w:basedOn w:val="Normal"/>
    <w:next w:val="BlockText"/>
    <w:link w:val="Heading6Char"/>
    <w:uiPriority w:val="9"/>
    <w:rsid w:val="008054B6"/>
    <w:pPr>
      <w:keepNext/>
      <w:numPr>
        <w:ilvl w:val="5"/>
        <w:numId w:val="10"/>
      </w:numPr>
      <w:outlineLvl w:val="5"/>
    </w:pPr>
    <w:rPr>
      <w:b/>
      <w:color w:val="606060"/>
    </w:rPr>
  </w:style>
  <w:style w:type="paragraph" w:styleId="Heading7">
    <w:name w:val="heading 7"/>
    <w:basedOn w:val="Normal"/>
    <w:next w:val="BlockText"/>
    <w:link w:val="Heading7Char"/>
    <w:uiPriority w:val="9"/>
    <w:rsid w:val="008054B6"/>
    <w:pPr>
      <w:keepNext/>
      <w:numPr>
        <w:ilvl w:val="6"/>
        <w:numId w:val="10"/>
      </w:numPr>
      <w:outlineLvl w:val="6"/>
    </w:pPr>
    <w:rPr>
      <w:b/>
      <w:color w:val="000000" w:themeColor="text1"/>
    </w:rPr>
  </w:style>
  <w:style w:type="paragraph" w:styleId="Heading8">
    <w:name w:val="heading 8"/>
    <w:basedOn w:val="Normal"/>
    <w:next w:val="BlockText"/>
    <w:link w:val="Heading8Char"/>
    <w:uiPriority w:val="9"/>
    <w:rsid w:val="008054B6"/>
    <w:pPr>
      <w:keepNext/>
      <w:numPr>
        <w:ilvl w:val="7"/>
        <w:numId w:val="10"/>
      </w:numPr>
      <w:outlineLvl w:val="7"/>
    </w:pPr>
    <w:rPr>
      <w:b/>
      <w:color w:val="606060"/>
    </w:rPr>
  </w:style>
  <w:style w:type="paragraph" w:styleId="Heading9">
    <w:name w:val="heading 9"/>
    <w:basedOn w:val="Normal"/>
    <w:next w:val="BlockText"/>
    <w:link w:val="Heading9Char"/>
    <w:uiPriority w:val="9"/>
    <w:rsid w:val="008054B6"/>
    <w:pPr>
      <w:keepNext/>
      <w:numPr>
        <w:ilvl w:val="8"/>
        <w:numId w:val="10"/>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20F3"/>
  </w:style>
  <w:style w:type="character" w:customStyle="1" w:styleId="Heading1Char">
    <w:name w:val="Heading 1 Char"/>
    <w:basedOn w:val="DefaultParagraphFont"/>
    <w:link w:val="Heading1"/>
    <w:uiPriority w:val="1"/>
    <w:rsid w:val="00672201"/>
    <w:rPr>
      <w:rFonts w:eastAsiaTheme="majorEastAsia" w:cstheme="majorBidi"/>
      <w:b/>
      <w:bCs/>
      <w:kern w:val="32"/>
      <w:sz w:val="36"/>
      <w:szCs w:val="36"/>
    </w:rPr>
  </w:style>
  <w:style w:type="character" w:customStyle="1" w:styleId="Heading2Char">
    <w:name w:val="Heading 2 Char"/>
    <w:basedOn w:val="DefaultParagraphFont"/>
    <w:link w:val="Heading2"/>
    <w:uiPriority w:val="1"/>
    <w:rsid w:val="00672201"/>
    <w:rPr>
      <w:rFonts w:eastAsiaTheme="majorEastAsia" w:cstheme="majorBidi"/>
      <w:b/>
      <w:bCs/>
      <w:iCs/>
      <w:color w:val="606060"/>
      <w:sz w:val="32"/>
      <w:szCs w:val="32"/>
    </w:rPr>
  </w:style>
  <w:style w:type="paragraph" w:styleId="Title">
    <w:name w:val="Title"/>
    <w:basedOn w:val="Normal"/>
    <w:next w:val="Normal"/>
    <w:link w:val="TitleChar"/>
    <w:uiPriority w:val="10"/>
    <w:semiHidden/>
    <w:qFormat/>
    <w:rsid w:val="005654B8"/>
    <w:pPr>
      <w:spacing w:before="240" w:after="60"/>
      <w:jc w:val="center"/>
      <w:outlineLvl w:val="0"/>
    </w:pPr>
    <w:rPr>
      <w:rFonts w:eastAsiaTheme="majorEastAsia" w:cstheme="majorBidi"/>
      <w:b/>
      <w:bCs/>
      <w:kern w:val="28"/>
      <w:sz w:val="32"/>
      <w:szCs w:val="32"/>
    </w:rPr>
  </w:style>
  <w:style w:type="character" w:customStyle="1" w:styleId="TitleChar">
    <w:name w:val="Title Char"/>
    <w:basedOn w:val="DefaultParagraphFont"/>
    <w:link w:val="Title"/>
    <w:uiPriority w:val="10"/>
    <w:semiHidden/>
    <w:rsid w:val="00FC5A80"/>
    <w:rPr>
      <w:rFonts w:eastAsiaTheme="majorEastAsia" w:cstheme="majorBidi"/>
      <w:b/>
      <w:bCs/>
      <w:kern w:val="28"/>
      <w:sz w:val="32"/>
      <w:szCs w:val="32"/>
    </w:rPr>
  </w:style>
  <w:style w:type="paragraph" w:styleId="Subtitle">
    <w:name w:val="Subtitle"/>
    <w:basedOn w:val="SubTitle0"/>
    <w:next w:val="Normal"/>
    <w:link w:val="SubtitleChar"/>
    <w:uiPriority w:val="11"/>
    <w:semiHidden/>
    <w:qFormat/>
    <w:rsid w:val="00D71FC9"/>
    <w:pPr>
      <w:spacing w:before="1440"/>
      <w:jc w:val="left"/>
    </w:pPr>
  </w:style>
  <w:style w:type="character" w:customStyle="1" w:styleId="SubtitleChar">
    <w:name w:val="Subtitle Char"/>
    <w:basedOn w:val="DefaultParagraphFont"/>
    <w:link w:val="Subtitle"/>
    <w:uiPriority w:val="11"/>
    <w:semiHidden/>
    <w:rsid w:val="00D71FC9"/>
    <w:rPr>
      <w:rFonts w:cs="Arial"/>
      <w:b/>
      <w:bCs/>
      <w:sz w:val="40"/>
      <w:szCs w:val="24"/>
    </w:rPr>
  </w:style>
  <w:style w:type="character" w:customStyle="1" w:styleId="Heading3Char">
    <w:name w:val="Heading 3 Char"/>
    <w:basedOn w:val="DefaultParagraphFont"/>
    <w:link w:val="Heading3"/>
    <w:uiPriority w:val="1"/>
    <w:rsid w:val="00B70CA7"/>
    <w:rPr>
      <w:rFonts w:cs="Arial"/>
      <w:b/>
      <w:bCs/>
      <w:sz w:val="28"/>
      <w:szCs w:val="28"/>
    </w:rPr>
  </w:style>
  <w:style w:type="paragraph" w:styleId="BlockText">
    <w:name w:val="Block Text"/>
    <w:basedOn w:val="Normal"/>
    <w:link w:val="BlockTextChar"/>
    <w:rsid w:val="00C756B9"/>
    <w:rPr>
      <w:rFonts w:eastAsiaTheme="minorEastAsia"/>
      <w:iCs/>
    </w:rPr>
  </w:style>
  <w:style w:type="numbering" w:customStyle="1" w:styleId="NTGStandardList">
    <w:name w:val="NTG Standard List"/>
    <w:basedOn w:val="NoList"/>
    <w:rsid w:val="001A2B7F"/>
    <w:pPr>
      <w:numPr>
        <w:numId w:val="1"/>
      </w:numPr>
    </w:pPr>
  </w:style>
  <w:style w:type="paragraph" w:styleId="Header">
    <w:name w:val="header"/>
    <w:aliases w:val="NTG Page Header"/>
    <w:basedOn w:val="Normal"/>
    <w:next w:val="Normal"/>
    <w:link w:val="HeaderChar"/>
    <w:uiPriority w:val="99"/>
    <w:semiHidden/>
    <w:rsid w:val="007E4A26"/>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99"/>
    <w:semiHidden/>
    <w:rsid w:val="00FC5A80"/>
    <w:rPr>
      <w:b/>
    </w:rPr>
  </w:style>
  <w:style w:type="paragraph" w:styleId="Footer">
    <w:name w:val="footer"/>
    <w:next w:val="Normal"/>
    <w:link w:val="FooterChar"/>
    <w:uiPriority w:val="99"/>
    <w:semiHidden/>
    <w:rsid w:val="00A24C50"/>
    <w:pPr>
      <w:tabs>
        <w:tab w:val="right" w:pos="9639"/>
        <w:tab w:val="right" w:pos="14459"/>
      </w:tabs>
      <w:ind w:right="-284"/>
    </w:pPr>
    <w:rPr>
      <w:rFonts w:eastAsia="Times New Roman" w:cs="Arial"/>
      <w:noProof/>
      <w:sz w:val="16"/>
      <w:lang w:eastAsia="en-AU"/>
    </w:rPr>
  </w:style>
  <w:style w:type="character" w:customStyle="1" w:styleId="FooterChar">
    <w:name w:val="Footer Char"/>
    <w:basedOn w:val="DefaultParagraphFont"/>
    <w:link w:val="Footer"/>
    <w:uiPriority w:val="99"/>
    <w:semiHidden/>
    <w:rsid w:val="00FC5A80"/>
    <w:rPr>
      <w:rFonts w:eastAsia="Times New Roman" w:cs="Arial"/>
      <w:noProof/>
      <w:sz w:val="16"/>
      <w:lang w:eastAsia="en-AU"/>
    </w:rPr>
  </w:style>
  <w:style w:type="character" w:customStyle="1" w:styleId="Heading5Char">
    <w:name w:val="Heading 5 Char"/>
    <w:basedOn w:val="DefaultParagraphFont"/>
    <w:link w:val="Heading5"/>
    <w:uiPriority w:val="9"/>
    <w:rsid w:val="008054B6"/>
    <w:rPr>
      <w:b/>
      <w:color w:val="000000" w:themeColor="text1"/>
    </w:rPr>
  </w:style>
  <w:style w:type="paragraph" w:customStyle="1" w:styleId="SubTitle0">
    <w:name w:val="Sub Title"/>
    <w:basedOn w:val="Normal"/>
    <w:autoRedefine/>
    <w:semiHidden/>
    <w:rsid w:val="003D5DCE"/>
    <w:pPr>
      <w:spacing w:before="4800" w:after="0"/>
      <w:jc w:val="right"/>
    </w:pPr>
    <w:rPr>
      <w:rFonts w:cs="Arial"/>
      <w:b/>
      <w:bCs/>
      <w:sz w:val="40"/>
      <w:szCs w:val="24"/>
    </w:rPr>
  </w:style>
  <w:style w:type="character" w:customStyle="1" w:styleId="Heading6Char">
    <w:name w:val="Heading 6 Char"/>
    <w:basedOn w:val="DefaultParagraphFont"/>
    <w:link w:val="Heading6"/>
    <w:uiPriority w:val="9"/>
    <w:rsid w:val="008054B6"/>
    <w:rPr>
      <w:b/>
      <w:color w:val="606060"/>
    </w:rPr>
  </w:style>
  <w:style w:type="paragraph" w:styleId="BalloonText">
    <w:name w:val="Balloon Text"/>
    <w:basedOn w:val="Normal"/>
    <w:link w:val="BalloonTextChar"/>
    <w:uiPriority w:val="99"/>
    <w:semiHidden/>
    <w:rsid w:val="00293A72"/>
    <w:rPr>
      <w:rFonts w:ascii="Tahoma" w:hAnsi="Tahoma" w:cs="Tahoma"/>
      <w:sz w:val="16"/>
      <w:szCs w:val="16"/>
    </w:rPr>
  </w:style>
  <w:style w:type="character" w:customStyle="1" w:styleId="BalloonTextChar">
    <w:name w:val="Balloon Text Char"/>
    <w:basedOn w:val="DefaultParagraphFont"/>
    <w:link w:val="BalloonText"/>
    <w:uiPriority w:val="99"/>
    <w:semiHidden/>
    <w:rsid w:val="00FC5A80"/>
    <w:rPr>
      <w:rFonts w:ascii="Tahoma" w:hAnsi="Tahoma" w:cs="Tahoma"/>
      <w:sz w:val="16"/>
      <w:szCs w:val="16"/>
    </w:rPr>
  </w:style>
  <w:style w:type="character" w:styleId="PageNumber">
    <w:name w:val="page number"/>
    <w:basedOn w:val="DefaultParagraphFont"/>
    <w:semiHidden/>
    <w:rsid w:val="00293A72"/>
  </w:style>
  <w:style w:type="character" w:customStyle="1" w:styleId="FactSheetTextChar">
    <w:name w:val="Fact Sheet Text Char"/>
    <w:link w:val="FactSheetText"/>
    <w:semiHidden/>
    <w:rsid w:val="00FC5A80"/>
    <w:rPr>
      <w:color w:val="000000"/>
    </w:rPr>
  </w:style>
  <w:style w:type="paragraph" w:customStyle="1" w:styleId="FactSheetText">
    <w:name w:val="Fact Sheet Text"/>
    <w:basedOn w:val="Normal"/>
    <w:link w:val="FactSheetTextChar"/>
    <w:semiHidden/>
    <w:rsid w:val="00293A72"/>
    <w:pPr>
      <w:spacing w:line="240" w:lineRule="atLeast"/>
    </w:pPr>
    <w:rPr>
      <w:color w:val="000000"/>
    </w:rPr>
  </w:style>
  <w:style w:type="character" w:customStyle="1" w:styleId="Heading4Char">
    <w:name w:val="Heading 4 Char"/>
    <w:basedOn w:val="DefaultParagraphFont"/>
    <w:link w:val="Heading4"/>
    <w:uiPriority w:val="1"/>
    <w:rsid w:val="0027218A"/>
    <w:rPr>
      <w:rFonts w:cs="Arial"/>
      <w:b/>
      <w:bCs/>
      <w:szCs w:val="26"/>
    </w:rPr>
  </w:style>
  <w:style w:type="paragraph" w:styleId="NormalWeb">
    <w:name w:val="Normal (Web)"/>
    <w:basedOn w:val="Normal"/>
    <w:uiPriority w:val="99"/>
    <w:semiHidden/>
    <w:rsid w:val="00342283"/>
    <w:rPr>
      <w:rFonts w:ascii="Times New Roman" w:hAnsi="Times New Roman"/>
      <w:sz w:val="24"/>
      <w:szCs w:val="24"/>
    </w:rPr>
  </w:style>
  <w:style w:type="paragraph" w:styleId="BodyText">
    <w:name w:val="Body Text"/>
    <w:basedOn w:val="Normal"/>
    <w:link w:val="BodyTextChar"/>
    <w:uiPriority w:val="99"/>
    <w:semiHidden/>
    <w:rsid w:val="00420C06"/>
    <w:pPr>
      <w:spacing w:after="120"/>
    </w:pPr>
  </w:style>
  <w:style w:type="character" w:customStyle="1" w:styleId="BodyTextChar">
    <w:name w:val="Body Text Char"/>
    <w:basedOn w:val="DefaultParagraphFont"/>
    <w:link w:val="BodyText"/>
    <w:uiPriority w:val="99"/>
    <w:semiHidden/>
    <w:rsid w:val="00FC5A80"/>
  </w:style>
  <w:style w:type="paragraph" w:customStyle="1" w:styleId="NTGCoverPageDate">
    <w:name w:val="NTG Cover Page Date"/>
    <w:next w:val="Normal"/>
    <w:rsid w:val="002C6633"/>
    <w:pPr>
      <w:spacing w:before="1400"/>
    </w:pPr>
    <w:rPr>
      <w:rFonts w:eastAsia="Times New Roman"/>
      <w:sz w:val="28"/>
      <w:lang w:eastAsia="en-AU"/>
    </w:rPr>
  </w:style>
  <w:style w:type="paragraph" w:styleId="TOC2">
    <w:name w:val="toc 2"/>
    <w:basedOn w:val="Normal"/>
    <w:next w:val="Normal"/>
    <w:uiPriority w:val="39"/>
    <w:rsid w:val="005E6AF0"/>
    <w:pPr>
      <w:tabs>
        <w:tab w:val="left" w:pos="720"/>
        <w:tab w:val="left" w:pos="1440"/>
        <w:tab w:val="right" w:leader="dot" w:pos="9060"/>
      </w:tabs>
      <w:spacing w:after="0"/>
      <w:ind w:left="720"/>
    </w:pPr>
  </w:style>
  <w:style w:type="paragraph" w:styleId="TOC1">
    <w:name w:val="toc 1"/>
    <w:basedOn w:val="Normal"/>
    <w:next w:val="Normal"/>
    <w:uiPriority w:val="39"/>
    <w:rsid w:val="003C5418"/>
    <w:pPr>
      <w:tabs>
        <w:tab w:val="left" w:pos="720"/>
        <w:tab w:val="right" w:leader="dot" w:pos="9060"/>
      </w:tabs>
      <w:spacing w:before="240" w:after="120"/>
    </w:pPr>
    <w:rPr>
      <w:b/>
      <w:szCs w:val="24"/>
    </w:rPr>
  </w:style>
  <w:style w:type="paragraph" w:styleId="TOC3">
    <w:name w:val="toc 3"/>
    <w:basedOn w:val="Normal"/>
    <w:next w:val="Normal"/>
    <w:uiPriority w:val="39"/>
    <w:rsid w:val="005E6AF0"/>
    <w:pPr>
      <w:tabs>
        <w:tab w:val="left" w:pos="720"/>
        <w:tab w:val="left" w:pos="1440"/>
        <w:tab w:val="right" w:leader="dot" w:pos="9060"/>
      </w:tabs>
      <w:spacing w:after="0"/>
      <w:ind w:left="720"/>
    </w:pPr>
    <w:rPr>
      <w:szCs w:val="24"/>
    </w:rPr>
  </w:style>
  <w:style w:type="paragraph" w:styleId="TOC5">
    <w:name w:val="toc 5"/>
    <w:basedOn w:val="Normal"/>
    <w:next w:val="Normal"/>
    <w:uiPriority w:val="39"/>
    <w:rsid w:val="005E6AF0"/>
    <w:pPr>
      <w:tabs>
        <w:tab w:val="right" w:leader="dot" w:pos="9072"/>
      </w:tabs>
      <w:spacing w:before="240" w:after="120"/>
      <w:ind w:right="284"/>
    </w:pPr>
    <w:rPr>
      <w:b/>
      <w:noProof/>
      <w:szCs w:val="24"/>
    </w:rPr>
  </w:style>
  <w:style w:type="character" w:styleId="Hyperlink">
    <w:name w:val="Hyperlink"/>
    <w:uiPriority w:val="99"/>
    <w:rsid w:val="00354E47"/>
    <w:rPr>
      <w:color w:val="0000FF"/>
      <w:u w:val="single"/>
    </w:rPr>
  </w:style>
  <w:style w:type="paragraph" w:styleId="ListParagraph">
    <w:name w:val="List Paragraph"/>
    <w:basedOn w:val="Normal"/>
    <w:link w:val="ListParagraphChar"/>
    <w:uiPriority w:val="34"/>
    <w:qFormat/>
    <w:rsid w:val="002B5C32"/>
    <w:pPr>
      <w:ind w:left="720"/>
      <w:contextualSpacing/>
    </w:pPr>
  </w:style>
  <w:style w:type="paragraph" w:customStyle="1" w:styleId="Appendix">
    <w:name w:val="Appendix"/>
    <w:basedOn w:val="Heading1"/>
    <w:next w:val="Normal"/>
    <w:uiPriority w:val="6"/>
    <w:qFormat/>
    <w:rsid w:val="0056691F"/>
    <w:pPr>
      <w:numPr>
        <w:numId w:val="0"/>
      </w:numPr>
    </w:pPr>
  </w:style>
  <w:style w:type="paragraph" w:styleId="TOC4">
    <w:name w:val="toc 4"/>
    <w:basedOn w:val="Normal"/>
    <w:next w:val="Normal"/>
    <w:autoRedefine/>
    <w:uiPriority w:val="39"/>
    <w:rsid w:val="006279A6"/>
    <w:pPr>
      <w:tabs>
        <w:tab w:val="left" w:pos="720"/>
        <w:tab w:val="left" w:pos="1701"/>
        <w:tab w:val="right" w:leader="dot" w:pos="9072"/>
      </w:tabs>
      <w:spacing w:after="0"/>
      <w:ind w:left="720"/>
    </w:pPr>
    <w:rPr>
      <w:noProof/>
    </w:rPr>
  </w:style>
  <w:style w:type="character" w:styleId="PlaceholderText">
    <w:name w:val="Placeholder Text"/>
    <w:basedOn w:val="DefaultParagraphFont"/>
    <w:uiPriority w:val="99"/>
    <w:semiHidden/>
    <w:rsid w:val="001621A8"/>
    <w:rPr>
      <w:color w:val="808080"/>
    </w:rPr>
  </w:style>
  <w:style w:type="paragraph" w:styleId="TOCHeading">
    <w:name w:val="TOC Heading"/>
    <w:basedOn w:val="Heading1"/>
    <w:next w:val="Normal"/>
    <w:uiPriority w:val="39"/>
    <w:rsid w:val="003C5418"/>
    <w:pPr>
      <w:keepLines/>
      <w:numPr>
        <w:numId w:val="0"/>
      </w:numPr>
      <w:spacing w:before="480" w:after="0" w:line="276" w:lineRule="auto"/>
      <w:outlineLvl w:val="9"/>
    </w:pPr>
    <w:rPr>
      <w:kern w:val="0"/>
      <w:szCs w:val="28"/>
      <w:lang w:eastAsia="ja-JP"/>
    </w:rPr>
  </w:style>
  <w:style w:type="numbering" w:customStyle="1" w:styleId="NTGTableNumList">
    <w:name w:val="NTG Table Num List"/>
    <w:uiPriority w:val="99"/>
    <w:rsid w:val="00EB59A5"/>
    <w:pPr>
      <w:numPr>
        <w:numId w:val="9"/>
      </w:numPr>
    </w:pPr>
  </w:style>
  <w:style w:type="table" w:styleId="TableGrid">
    <w:name w:val="Table Grid"/>
    <w:basedOn w:val="TableNormal"/>
    <w:uiPriority w:val="59"/>
    <w:rsid w:val="006A7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CoverPageTitle">
    <w:name w:val="NTG Cover Page Title"/>
    <w:basedOn w:val="Normal"/>
    <w:uiPriority w:val="99"/>
    <w:rsid w:val="00404B85"/>
    <w:pPr>
      <w:tabs>
        <w:tab w:val="left" w:pos="2805"/>
      </w:tabs>
      <w:autoSpaceDE w:val="0"/>
      <w:autoSpaceDN w:val="0"/>
      <w:adjustRightInd w:val="0"/>
      <w:spacing w:before="1000" w:line="700" w:lineRule="atLeast"/>
      <w:textAlignment w:val="center"/>
    </w:pPr>
    <w:rPr>
      <w:rFonts w:ascii="Arial Black" w:eastAsiaTheme="minorHAnsi" w:hAnsi="Arial Black" w:cs="Lato Black"/>
      <w:color w:val="CB6015"/>
      <w:sz w:val="66"/>
      <w:szCs w:val="66"/>
      <w:lang w:val="en-GB"/>
    </w:rPr>
  </w:style>
  <w:style w:type="paragraph" w:customStyle="1" w:styleId="Footerspacing">
    <w:name w:val="Footer spacing"/>
    <w:semiHidden/>
    <w:rsid w:val="00404B85"/>
    <w:rPr>
      <w:rFonts w:cs="Arial"/>
      <w:sz w:val="6"/>
      <w:szCs w:val="6"/>
    </w:rPr>
  </w:style>
  <w:style w:type="paragraph" w:customStyle="1" w:styleId="NTGCoverPageVersion">
    <w:name w:val="NTG Cover Page Version"/>
    <w:rsid w:val="007D7E7C"/>
    <w:rPr>
      <w:rFonts w:eastAsia="Times New Roman"/>
      <w:sz w:val="28"/>
      <w:lang w:eastAsia="en-AU"/>
    </w:rPr>
  </w:style>
  <w:style w:type="character" w:customStyle="1" w:styleId="Heading7Char">
    <w:name w:val="Heading 7 Char"/>
    <w:basedOn w:val="DefaultParagraphFont"/>
    <w:link w:val="Heading7"/>
    <w:uiPriority w:val="9"/>
    <w:rsid w:val="008054B6"/>
    <w:rPr>
      <w:b/>
      <w:color w:val="000000" w:themeColor="text1"/>
    </w:rPr>
  </w:style>
  <w:style w:type="paragraph" w:customStyle="1" w:styleId="NTGFooterDateVersion">
    <w:name w:val="NTG Footer Date &amp; Version"/>
    <w:basedOn w:val="Normal"/>
    <w:link w:val="NTGFooterDateVersionChar"/>
    <w:rsid w:val="00B8229A"/>
    <w:pPr>
      <w:widowControl w:val="0"/>
      <w:tabs>
        <w:tab w:val="right" w:pos="9026"/>
      </w:tabs>
    </w:pPr>
    <w:rPr>
      <w:rFonts w:cs="Arial"/>
      <w:sz w:val="16"/>
      <w:szCs w:val="16"/>
    </w:rPr>
  </w:style>
  <w:style w:type="paragraph" w:customStyle="1" w:styleId="NTGFooterPagenumber">
    <w:name w:val="NTG Footer Page number"/>
    <w:basedOn w:val="Normal"/>
    <w:link w:val="NTGFooterPagenumberChar"/>
    <w:rsid w:val="00B8229A"/>
    <w:pPr>
      <w:widowControl w:val="0"/>
      <w:tabs>
        <w:tab w:val="right" w:pos="9026"/>
      </w:tabs>
      <w:spacing w:after="0"/>
    </w:pPr>
    <w:rPr>
      <w:rFonts w:cs="Arial"/>
      <w:sz w:val="16"/>
      <w:szCs w:val="16"/>
    </w:rPr>
  </w:style>
  <w:style w:type="paragraph" w:customStyle="1" w:styleId="NTGFooterDepartmentof">
    <w:name w:val="NTG Footer Department of"/>
    <w:basedOn w:val="Normal"/>
    <w:link w:val="NTGFooterDepartmentofChar"/>
    <w:rsid w:val="002C3C6A"/>
    <w:pPr>
      <w:widowControl w:val="0"/>
      <w:tabs>
        <w:tab w:val="right" w:pos="9026"/>
      </w:tabs>
      <w:spacing w:after="0"/>
    </w:pPr>
    <w:rPr>
      <w:rFonts w:cs="Arial"/>
      <w:caps/>
      <w:sz w:val="16"/>
      <w:szCs w:val="16"/>
    </w:rPr>
  </w:style>
  <w:style w:type="paragraph" w:customStyle="1" w:styleId="NTGFooterDepartmentName">
    <w:name w:val="NTG Footer Department Name"/>
    <w:basedOn w:val="Normal"/>
    <w:link w:val="NTGFooterDepartmentNameChar"/>
    <w:uiPriority w:val="1"/>
    <w:qFormat/>
    <w:rsid w:val="002C3C6A"/>
    <w:pPr>
      <w:widowControl w:val="0"/>
      <w:tabs>
        <w:tab w:val="right" w:pos="9026"/>
      </w:tabs>
      <w:spacing w:after="0"/>
    </w:pPr>
    <w:rPr>
      <w:rFonts w:ascii="Arial Black" w:hAnsi="Arial Black" w:cs="Arial"/>
      <w:caps/>
      <w:sz w:val="16"/>
      <w:szCs w:val="16"/>
    </w:rPr>
  </w:style>
  <w:style w:type="character" w:customStyle="1" w:styleId="NTGFooterDateVersionChar">
    <w:name w:val="NTG Footer Date &amp; Version Char"/>
    <w:basedOn w:val="DefaultParagraphFont"/>
    <w:link w:val="NTGFooterDateVersion"/>
    <w:rsid w:val="00671027"/>
    <w:rPr>
      <w:rFonts w:cs="Arial"/>
      <w:sz w:val="16"/>
      <w:szCs w:val="16"/>
    </w:rPr>
  </w:style>
  <w:style w:type="character" w:customStyle="1" w:styleId="NTGFooterDepartmentofChar">
    <w:name w:val="NTG Footer Department of Char"/>
    <w:basedOn w:val="DefaultParagraphFont"/>
    <w:link w:val="NTGFooterDepartmentof"/>
    <w:rsid w:val="00671027"/>
    <w:rPr>
      <w:rFonts w:cs="Arial"/>
      <w:caps/>
      <w:sz w:val="16"/>
      <w:szCs w:val="16"/>
    </w:rPr>
  </w:style>
  <w:style w:type="character" w:customStyle="1" w:styleId="NTGFooterPagenumberChar">
    <w:name w:val="NTG Footer Page number Char"/>
    <w:basedOn w:val="DefaultParagraphFont"/>
    <w:link w:val="NTGFooterPagenumber"/>
    <w:rsid w:val="00671027"/>
    <w:rPr>
      <w:rFonts w:cs="Arial"/>
      <w:sz w:val="16"/>
      <w:szCs w:val="16"/>
    </w:rPr>
  </w:style>
  <w:style w:type="character" w:customStyle="1" w:styleId="NTGFooterDepartmentNameChar">
    <w:name w:val="NTG Footer Department Name Char"/>
    <w:basedOn w:val="NTGFooterDepartmentofChar"/>
    <w:link w:val="NTGFooterDepartmentName"/>
    <w:uiPriority w:val="1"/>
    <w:rsid w:val="00522C01"/>
    <w:rPr>
      <w:rFonts w:ascii="Arial Black" w:hAnsi="Arial Black" w:cs="Arial"/>
      <w:caps/>
      <w:sz w:val="16"/>
      <w:szCs w:val="16"/>
    </w:rPr>
  </w:style>
  <w:style w:type="paragraph" w:styleId="FootnoteText">
    <w:name w:val="footnote text"/>
    <w:basedOn w:val="Normal"/>
    <w:link w:val="FootnoteTextChar"/>
    <w:uiPriority w:val="99"/>
    <w:semiHidden/>
    <w:rsid w:val="009A25A1"/>
    <w:pPr>
      <w:spacing w:after="0"/>
    </w:pPr>
    <w:rPr>
      <w:sz w:val="20"/>
    </w:rPr>
  </w:style>
  <w:style w:type="character" w:customStyle="1" w:styleId="FootnoteTextChar">
    <w:name w:val="Footnote Text Char"/>
    <w:basedOn w:val="DefaultParagraphFont"/>
    <w:link w:val="FootnoteText"/>
    <w:uiPriority w:val="99"/>
    <w:semiHidden/>
    <w:rsid w:val="00FC5A80"/>
    <w:rPr>
      <w:sz w:val="20"/>
    </w:rPr>
  </w:style>
  <w:style w:type="character" w:styleId="FootnoteReference">
    <w:name w:val="footnote reference"/>
    <w:basedOn w:val="DefaultParagraphFont"/>
    <w:uiPriority w:val="99"/>
    <w:semiHidden/>
    <w:rsid w:val="009A25A1"/>
    <w:rPr>
      <w:vertAlign w:val="superscript"/>
    </w:rPr>
  </w:style>
  <w:style w:type="paragraph" w:customStyle="1" w:styleId="NTGTableText">
    <w:name w:val="NTG Table Text"/>
    <w:basedOn w:val="Normal"/>
    <w:qFormat/>
    <w:rsid w:val="00631EB0"/>
    <w:pPr>
      <w:spacing w:after="40"/>
    </w:pPr>
    <w:rPr>
      <w:rFonts w:eastAsia="Times New Roman"/>
      <w:szCs w:val="20"/>
    </w:rPr>
  </w:style>
  <w:style w:type="paragraph" w:customStyle="1" w:styleId="TableListParagraph1">
    <w:name w:val="Table List Paragraph 1"/>
    <w:basedOn w:val="ListParagraph"/>
    <w:semiHidden/>
    <w:qFormat/>
    <w:rsid w:val="00A53808"/>
    <w:pPr>
      <w:numPr>
        <w:numId w:val="5"/>
      </w:numPr>
      <w:spacing w:after="0"/>
      <w:ind w:left="397" w:hanging="227"/>
    </w:pPr>
  </w:style>
  <w:style w:type="paragraph" w:styleId="ListBullet2">
    <w:name w:val="List Bullet 2"/>
    <w:basedOn w:val="Normal"/>
    <w:uiPriority w:val="99"/>
    <w:rsid w:val="00855D46"/>
    <w:pPr>
      <w:numPr>
        <w:numId w:val="3"/>
      </w:numPr>
      <w:contextualSpacing/>
    </w:pPr>
  </w:style>
  <w:style w:type="paragraph" w:styleId="ListBullet">
    <w:name w:val="List Bullet"/>
    <w:basedOn w:val="Normal"/>
    <w:uiPriority w:val="99"/>
    <w:rsid w:val="00855D46"/>
    <w:pPr>
      <w:numPr>
        <w:numId w:val="2"/>
      </w:numPr>
      <w:contextualSpacing/>
    </w:pPr>
  </w:style>
  <w:style w:type="paragraph" w:styleId="ListBullet3">
    <w:name w:val="List Bullet 3"/>
    <w:basedOn w:val="Normal"/>
    <w:uiPriority w:val="99"/>
    <w:rsid w:val="00855D46"/>
    <w:pPr>
      <w:numPr>
        <w:numId w:val="4"/>
      </w:numPr>
      <w:contextualSpacing/>
    </w:pPr>
  </w:style>
  <w:style w:type="table" w:customStyle="1" w:styleId="NTGTable">
    <w:name w:val="NTG Table"/>
    <w:basedOn w:val="TableTheme"/>
    <w:uiPriority w:val="99"/>
    <w:rsid w:val="006C391B"/>
    <w:tblPr>
      <w:tblInd w:w="113" w:type="dxa"/>
    </w:tblPr>
    <w:tcPr>
      <w:shd w:val="clear" w:color="auto" w:fill="auto"/>
    </w:tcPr>
    <w:tblStylePr w:type="firstRow">
      <w:pPr>
        <w:wordWrap/>
        <w:spacing w:beforeLines="0" w:before="60" w:beforeAutospacing="0" w:afterLines="0" w:after="60" w:afterAutospacing="0"/>
        <w:contextualSpacing w:val="0"/>
        <w:jc w:val="center"/>
      </w:pPr>
      <w:rPr>
        <w:rFonts w:ascii="Arial" w:hAnsi="Arial"/>
        <w:b/>
        <w:sz w:val="22"/>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style>
  <w:style w:type="paragraph" w:customStyle="1" w:styleId="TableListParagraph2">
    <w:name w:val="Table List Paragraph 2"/>
    <w:basedOn w:val="TableListParagraph1"/>
    <w:semiHidden/>
    <w:qFormat/>
    <w:rsid w:val="008F3628"/>
    <w:pPr>
      <w:numPr>
        <w:numId w:val="6"/>
      </w:numPr>
      <w:ind w:left="567" w:hanging="227"/>
    </w:pPr>
  </w:style>
  <w:style w:type="character" w:customStyle="1" w:styleId="Heading8Char">
    <w:name w:val="Heading 8 Char"/>
    <w:basedOn w:val="DefaultParagraphFont"/>
    <w:link w:val="Heading8"/>
    <w:uiPriority w:val="9"/>
    <w:rsid w:val="008054B6"/>
    <w:rPr>
      <w:b/>
      <w:color w:val="606060"/>
    </w:rPr>
  </w:style>
  <w:style w:type="table" w:styleId="TableTheme">
    <w:name w:val="Table Theme"/>
    <w:basedOn w:val="TableNormal"/>
    <w:uiPriority w:val="99"/>
    <w:semiHidden/>
    <w:unhideWhenUsed/>
    <w:rsid w:val="000A0C61"/>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uiPriority w:val="9"/>
    <w:rsid w:val="008054B6"/>
    <w:rPr>
      <w:b/>
      <w:color w:val="000000" w:themeColor="text1"/>
    </w:rPr>
  </w:style>
  <w:style w:type="numbering" w:customStyle="1" w:styleId="Style2">
    <w:name w:val="Style2"/>
    <w:uiPriority w:val="99"/>
    <w:rsid w:val="007B5415"/>
    <w:pPr>
      <w:numPr>
        <w:numId w:val="7"/>
      </w:numPr>
    </w:pPr>
  </w:style>
  <w:style w:type="numbering" w:customStyle="1" w:styleId="NTGTableList">
    <w:name w:val="NTG Table List"/>
    <w:uiPriority w:val="99"/>
    <w:rsid w:val="00D019B6"/>
    <w:pPr>
      <w:numPr>
        <w:numId w:val="8"/>
      </w:numPr>
    </w:pPr>
  </w:style>
  <w:style w:type="character" w:customStyle="1" w:styleId="ListParagraphChar">
    <w:name w:val="List Paragraph Char"/>
    <w:basedOn w:val="DefaultParagraphFont"/>
    <w:link w:val="ListParagraph"/>
    <w:uiPriority w:val="1"/>
    <w:rsid w:val="00522C01"/>
  </w:style>
  <w:style w:type="character" w:customStyle="1" w:styleId="BlockTextChar">
    <w:name w:val="Block Text Char"/>
    <w:basedOn w:val="DefaultParagraphFont"/>
    <w:link w:val="BlockText"/>
    <w:locked/>
    <w:rsid w:val="000D3600"/>
    <w:rPr>
      <w:rFonts w:eastAsiaTheme="minorEastAsia"/>
      <w:iCs/>
    </w:rPr>
  </w:style>
  <w:style w:type="character" w:customStyle="1" w:styleId="NumberedParaChar">
    <w:name w:val="Numbered Para Char"/>
    <w:basedOn w:val="BlockTextChar"/>
    <w:link w:val="NumberedPara"/>
    <w:locked/>
    <w:rsid w:val="00AD700E"/>
    <w:rPr>
      <w:rFonts w:eastAsiaTheme="minorEastAsia"/>
      <w:iCs w:val="0"/>
    </w:rPr>
  </w:style>
  <w:style w:type="paragraph" w:customStyle="1" w:styleId="NumberedPara">
    <w:name w:val="Numbered Para"/>
    <w:basedOn w:val="iiiiii"/>
    <w:link w:val="NumberedParaChar"/>
    <w:autoRedefine/>
    <w:qFormat/>
    <w:rsid w:val="00AD700E"/>
    <w:pPr>
      <w:numPr>
        <w:numId w:val="18"/>
      </w:numPr>
    </w:pPr>
  </w:style>
  <w:style w:type="character" w:customStyle="1" w:styleId="BulletStyleChar">
    <w:name w:val="Bullet Style Char"/>
    <w:basedOn w:val="DefaultParagraphFont"/>
    <w:link w:val="BulletStyle"/>
    <w:locked/>
    <w:rsid w:val="00E34BFA"/>
  </w:style>
  <w:style w:type="paragraph" w:customStyle="1" w:styleId="BulletStyle">
    <w:name w:val="Bullet Style"/>
    <w:basedOn w:val="NTGTableBulletList1"/>
    <w:next w:val="Normal"/>
    <w:link w:val="BulletStyleChar"/>
    <w:qFormat/>
    <w:rsid w:val="00E34BFA"/>
  </w:style>
  <w:style w:type="paragraph" w:customStyle="1" w:styleId="RuleStatement">
    <w:name w:val="Rule Statement"/>
    <w:basedOn w:val="Heading4"/>
    <w:link w:val="RuleStatementChar"/>
    <w:qFormat/>
    <w:rsid w:val="007E20B5"/>
    <w:pPr>
      <w:numPr>
        <w:ilvl w:val="0"/>
        <w:numId w:val="0"/>
      </w:numPr>
      <w:pBdr>
        <w:left w:val="single" w:sz="4" w:space="8" w:color="auto"/>
        <w:right w:val="single" w:sz="4" w:space="8" w:color="auto"/>
      </w:pBdr>
      <w:tabs>
        <w:tab w:val="left" w:pos="1134"/>
      </w:tabs>
      <w:spacing w:before="200"/>
      <w:outlineLvl w:val="9"/>
    </w:pPr>
    <w:rPr>
      <w:color w:val="000000"/>
      <w14:textFill>
        <w14:solidFill>
          <w14:srgbClr w14:val="000000">
            <w14:lumMod w14:val="75000"/>
          </w14:srgbClr>
        </w14:solidFill>
      </w14:textFill>
    </w:rPr>
  </w:style>
  <w:style w:type="character" w:customStyle="1" w:styleId="RuleStatementChar">
    <w:name w:val="Rule Statement Char"/>
    <w:basedOn w:val="Heading3Char"/>
    <w:link w:val="RuleStatement"/>
    <w:rsid w:val="007E20B5"/>
    <w:rPr>
      <w:rFonts w:cs="Arial"/>
      <w:b/>
      <w:bCs/>
      <w:color w:val="000000"/>
      <w:sz w:val="28"/>
      <w:szCs w:val="26"/>
      <w14:textFill>
        <w14:solidFill>
          <w14:srgbClr w14:val="000000">
            <w14:lumMod w14:val="75000"/>
          </w14:srgbClr>
        </w14:solidFill>
      </w14:textFill>
    </w:rPr>
  </w:style>
  <w:style w:type="character" w:styleId="CommentReference">
    <w:name w:val="annotation reference"/>
    <w:basedOn w:val="DefaultParagraphFont"/>
    <w:uiPriority w:val="99"/>
    <w:semiHidden/>
    <w:rsid w:val="00FB62B0"/>
    <w:rPr>
      <w:sz w:val="16"/>
      <w:szCs w:val="16"/>
    </w:rPr>
  </w:style>
  <w:style w:type="paragraph" w:styleId="CommentText">
    <w:name w:val="annotation text"/>
    <w:basedOn w:val="Normal"/>
    <w:link w:val="CommentTextChar"/>
    <w:uiPriority w:val="99"/>
    <w:semiHidden/>
    <w:rsid w:val="00FB62B0"/>
    <w:rPr>
      <w:sz w:val="20"/>
      <w:szCs w:val="20"/>
    </w:rPr>
  </w:style>
  <w:style w:type="character" w:customStyle="1" w:styleId="CommentTextChar">
    <w:name w:val="Comment Text Char"/>
    <w:basedOn w:val="DefaultParagraphFont"/>
    <w:link w:val="CommentText"/>
    <w:uiPriority w:val="99"/>
    <w:semiHidden/>
    <w:rsid w:val="00FB62B0"/>
    <w:rPr>
      <w:sz w:val="20"/>
      <w:szCs w:val="20"/>
    </w:rPr>
  </w:style>
  <w:style w:type="paragraph" w:customStyle="1" w:styleId="StyleHeading4BottomSinglesolidlineAuto05ptLinewi">
    <w:name w:val="Style Heading 4 + Bottom: (Single solid line Auto  0.5 pt Line wi..."/>
    <w:basedOn w:val="Heading4"/>
    <w:rsid w:val="00C62B89"/>
    <w:pPr>
      <w:pBdr>
        <w:top w:val="single" w:sz="4" w:space="6" w:color="auto"/>
        <w:bottom w:val="single" w:sz="4" w:space="6" w:color="auto"/>
      </w:pBdr>
    </w:pPr>
    <w:rPr>
      <w:rFonts w:eastAsia="Times New Roman" w:cs="Times New Roman"/>
      <w:szCs w:val="20"/>
    </w:rPr>
  </w:style>
  <w:style w:type="paragraph" w:styleId="CommentSubject">
    <w:name w:val="annotation subject"/>
    <w:basedOn w:val="CommentText"/>
    <w:next w:val="CommentText"/>
    <w:link w:val="CommentSubjectChar"/>
    <w:uiPriority w:val="99"/>
    <w:semiHidden/>
    <w:rsid w:val="00B0542E"/>
    <w:rPr>
      <w:b/>
      <w:bCs/>
    </w:rPr>
  </w:style>
  <w:style w:type="character" w:customStyle="1" w:styleId="CommentSubjectChar">
    <w:name w:val="Comment Subject Char"/>
    <w:basedOn w:val="CommentTextChar"/>
    <w:link w:val="CommentSubject"/>
    <w:uiPriority w:val="99"/>
    <w:semiHidden/>
    <w:rsid w:val="00B0542E"/>
    <w:rPr>
      <w:b/>
      <w:bCs/>
      <w:sz w:val="20"/>
      <w:szCs w:val="20"/>
    </w:rPr>
  </w:style>
  <w:style w:type="paragraph" w:styleId="Revision">
    <w:name w:val="Revision"/>
    <w:hidden/>
    <w:uiPriority w:val="99"/>
    <w:semiHidden/>
    <w:rsid w:val="00F778CF"/>
  </w:style>
  <w:style w:type="paragraph" w:customStyle="1" w:styleId="Rule4">
    <w:name w:val="Rule 4"/>
    <w:basedOn w:val="Heading4"/>
    <w:link w:val="Rule4Char"/>
    <w:rsid w:val="002369CD"/>
  </w:style>
  <w:style w:type="character" w:customStyle="1" w:styleId="Rule4Char">
    <w:name w:val="Rule 4 Char"/>
    <w:basedOn w:val="Heading4Char"/>
    <w:link w:val="Rule4"/>
    <w:rsid w:val="002369CD"/>
    <w:rPr>
      <w:rFonts w:cs="Arial"/>
      <w:b/>
      <w:bCs/>
      <w:szCs w:val="26"/>
    </w:rPr>
  </w:style>
  <w:style w:type="paragraph" w:styleId="TOC7">
    <w:name w:val="toc 7"/>
    <w:basedOn w:val="Normal"/>
    <w:next w:val="Normal"/>
    <w:autoRedefine/>
    <w:uiPriority w:val="39"/>
    <w:rsid w:val="00F77DA4"/>
    <w:pPr>
      <w:spacing w:after="100"/>
      <w:ind w:left="1320"/>
    </w:pPr>
  </w:style>
  <w:style w:type="paragraph" w:styleId="ListBullet4">
    <w:name w:val="List Bullet 4"/>
    <w:basedOn w:val="Normal"/>
    <w:uiPriority w:val="99"/>
    <w:rsid w:val="00822EBC"/>
    <w:pPr>
      <w:ind w:left="1428" w:hanging="357"/>
    </w:pPr>
    <w:rPr>
      <w:rFonts w:eastAsia="Times New Roman"/>
      <w:iCs/>
      <w:szCs w:val="20"/>
      <w:lang w:eastAsia="en-AU"/>
    </w:rPr>
  </w:style>
  <w:style w:type="paragraph" w:styleId="ListBullet5">
    <w:name w:val="List Bullet 5"/>
    <w:basedOn w:val="Normal"/>
    <w:uiPriority w:val="99"/>
    <w:rsid w:val="00822EBC"/>
    <w:pPr>
      <w:ind w:left="1785" w:hanging="357"/>
    </w:pPr>
    <w:rPr>
      <w:rFonts w:eastAsia="Times New Roman"/>
      <w:iCs/>
      <w:szCs w:val="20"/>
      <w:lang w:eastAsia="en-AU"/>
    </w:rPr>
  </w:style>
  <w:style w:type="character" w:styleId="FollowedHyperlink">
    <w:name w:val="FollowedHyperlink"/>
    <w:basedOn w:val="DefaultParagraphFont"/>
    <w:uiPriority w:val="99"/>
    <w:semiHidden/>
    <w:unhideWhenUsed/>
    <w:rsid w:val="00C64354"/>
    <w:rPr>
      <w:color w:val="800080" w:themeColor="followedHyperlink"/>
      <w:u w:val="single"/>
    </w:rPr>
  </w:style>
  <w:style w:type="paragraph" w:customStyle="1" w:styleId="Lettered">
    <w:name w:val="Lettered"/>
    <w:basedOn w:val="NumberedPara"/>
    <w:link w:val="LetteredChar"/>
    <w:autoRedefine/>
    <w:rsid w:val="004E1783"/>
    <w:pPr>
      <w:numPr>
        <w:numId w:val="12"/>
      </w:numPr>
    </w:pPr>
  </w:style>
  <w:style w:type="paragraph" w:customStyle="1" w:styleId="iiiiii">
    <w:name w:val="i. ii. iii."/>
    <w:basedOn w:val="Normal"/>
    <w:link w:val="iiiiiiChar"/>
    <w:rsid w:val="00FF302D"/>
    <w:pPr>
      <w:widowControl w:val="0"/>
    </w:pPr>
  </w:style>
  <w:style w:type="character" w:customStyle="1" w:styleId="LetteredChar">
    <w:name w:val="Lettered Char"/>
    <w:basedOn w:val="NumberedParaChar"/>
    <w:link w:val="Lettered"/>
    <w:rsid w:val="004E1783"/>
    <w:rPr>
      <w:rFonts w:eastAsiaTheme="minorEastAsia"/>
      <w:iCs w:val="0"/>
    </w:rPr>
  </w:style>
  <w:style w:type="paragraph" w:customStyle="1" w:styleId="Style1">
    <w:name w:val="Style1"/>
    <w:basedOn w:val="Heading1"/>
    <w:rsid w:val="007C39D0"/>
    <w:pPr>
      <w:keepNext w:val="0"/>
      <w:widowControl w:val="0"/>
      <w:numPr>
        <w:numId w:val="15"/>
      </w:numPr>
      <w:ind w:left="1021" w:hanging="284"/>
    </w:pPr>
    <w:rPr>
      <w:b w:val="0"/>
      <w:sz w:val="22"/>
    </w:rPr>
  </w:style>
  <w:style w:type="character" w:customStyle="1" w:styleId="iiiiiiChar">
    <w:name w:val="i. ii. iii. Char"/>
    <w:basedOn w:val="NumberedParaChar"/>
    <w:link w:val="iiiiii"/>
    <w:rsid w:val="00FF302D"/>
    <w:rPr>
      <w:rFonts w:eastAsiaTheme="minorEastAsia"/>
      <w:iCs w:val="0"/>
    </w:rPr>
  </w:style>
  <w:style w:type="paragraph" w:customStyle="1" w:styleId="Style3">
    <w:name w:val="Style3"/>
    <w:basedOn w:val="Lettered"/>
    <w:rsid w:val="00A65B41"/>
    <w:pPr>
      <w:numPr>
        <w:numId w:val="14"/>
      </w:numPr>
      <w:ind w:left="1701" w:hanging="567"/>
    </w:pPr>
  </w:style>
  <w:style w:type="paragraph" w:styleId="TOC6">
    <w:name w:val="toc 6"/>
    <w:basedOn w:val="Normal"/>
    <w:next w:val="Normal"/>
    <w:autoRedefine/>
    <w:uiPriority w:val="39"/>
    <w:unhideWhenUsed/>
    <w:rsid w:val="007819DB"/>
    <w:pPr>
      <w:spacing w:after="100" w:line="259" w:lineRule="auto"/>
      <w:ind w:left="1100"/>
    </w:pPr>
    <w:rPr>
      <w:rFonts w:asciiTheme="minorHAnsi" w:eastAsiaTheme="minorEastAsia" w:hAnsiTheme="minorHAnsi" w:cstheme="minorBidi"/>
      <w:lang w:eastAsia="en-AU"/>
    </w:rPr>
  </w:style>
  <w:style w:type="paragraph" w:styleId="TOC8">
    <w:name w:val="toc 8"/>
    <w:basedOn w:val="Normal"/>
    <w:next w:val="Normal"/>
    <w:autoRedefine/>
    <w:uiPriority w:val="39"/>
    <w:unhideWhenUsed/>
    <w:rsid w:val="007819DB"/>
    <w:pPr>
      <w:spacing w:after="100" w:line="259" w:lineRule="auto"/>
      <w:ind w:left="1540"/>
    </w:pPr>
    <w:rPr>
      <w:rFonts w:asciiTheme="minorHAnsi" w:eastAsiaTheme="minorEastAsia" w:hAnsiTheme="minorHAnsi" w:cstheme="minorBidi"/>
      <w:lang w:eastAsia="en-AU"/>
    </w:rPr>
  </w:style>
  <w:style w:type="paragraph" w:styleId="TOC9">
    <w:name w:val="toc 9"/>
    <w:basedOn w:val="Normal"/>
    <w:next w:val="Normal"/>
    <w:autoRedefine/>
    <w:uiPriority w:val="39"/>
    <w:unhideWhenUsed/>
    <w:rsid w:val="007819DB"/>
    <w:pPr>
      <w:spacing w:after="100" w:line="259" w:lineRule="auto"/>
      <w:ind w:left="1760"/>
    </w:pPr>
    <w:rPr>
      <w:rFonts w:asciiTheme="minorHAnsi" w:eastAsiaTheme="minorEastAsia" w:hAnsiTheme="minorHAnsi" w:cstheme="minorBidi"/>
      <w:lang w:eastAsia="en-AU"/>
    </w:rPr>
  </w:style>
  <w:style w:type="paragraph" w:customStyle="1" w:styleId="NTGTableBulletList1">
    <w:name w:val="NTG Table Bullet List 1"/>
    <w:basedOn w:val="Normal"/>
    <w:rsid w:val="0027218A"/>
    <w:pPr>
      <w:numPr>
        <w:numId w:val="16"/>
      </w:numPr>
    </w:pPr>
  </w:style>
  <w:style w:type="paragraph" w:customStyle="1" w:styleId="NTGTableBulletList2">
    <w:name w:val="NTG Table Bullet List 2"/>
    <w:basedOn w:val="Normal"/>
    <w:rsid w:val="0027218A"/>
    <w:pPr>
      <w:numPr>
        <w:ilvl w:val="1"/>
        <w:numId w:val="16"/>
      </w:numPr>
    </w:pPr>
  </w:style>
  <w:style w:type="paragraph" w:customStyle="1" w:styleId="NTGTableBulletList3">
    <w:name w:val="NTG Table Bullet List 3"/>
    <w:basedOn w:val="Normal"/>
    <w:rsid w:val="0027218A"/>
    <w:pPr>
      <w:numPr>
        <w:ilvl w:val="2"/>
        <w:numId w:val="16"/>
      </w:numPr>
    </w:pPr>
  </w:style>
  <w:style w:type="paragraph" w:customStyle="1" w:styleId="NTGTableBulletList4">
    <w:name w:val="NTG Table Bullet List 4"/>
    <w:basedOn w:val="Normal"/>
    <w:rsid w:val="0027218A"/>
    <w:pPr>
      <w:numPr>
        <w:ilvl w:val="3"/>
        <w:numId w:val="16"/>
      </w:numPr>
    </w:pPr>
  </w:style>
  <w:style w:type="paragraph" w:customStyle="1" w:styleId="NTGTableBulletList5">
    <w:name w:val="NTG Table Bullet List 5"/>
    <w:basedOn w:val="Normal"/>
    <w:rsid w:val="0027218A"/>
    <w:pPr>
      <w:numPr>
        <w:ilvl w:val="4"/>
        <w:numId w:val="16"/>
      </w:numPr>
    </w:pPr>
  </w:style>
  <w:style w:type="paragraph" w:customStyle="1" w:styleId="NTGTableBulletList6">
    <w:name w:val="NTG Table Bullet List 6"/>
    <w:basedOn w:val="Normal"/>
    <w:rsid w:val="0027218A"/>
    <w:pPr>
      <w:numPr>
        <w:ilvl w:val="5"/>
        <w:numId w:val="16"/>
      </w:numPr>
    </w:pPr>
  </w:style>
  <w:style w:type="paragraph" w:customStyle="1" w:styleId="NTGTableBulletList7">
    <w:name w:val="NTG Table Bullet List 7"/>
    <w:basedOn w:val="Normal"/>
    <w:rsid w:val="0027218A"/>
    <w:pPr>
      <w:numPr>
        <w:ilvl w:val="6"/>
        <w:numId w:val="16"/>
      </w:numPr>
    </w:pPr>
  </w:style>
  <w:style w:type="paragraph" w:customStyle="1" w:styleId="NTGTableBulletList8">
    <w:name w:val="NTG Table Bullet List 8"/>
    <w:basedOn w:val="Normal"/>
    <w:rsid w:val="0027218A"/>
    <w:pPr>
      <w:numPr>
        <w:ilvl w:val="7"/>
        <w:numId w:val="16"/>
      </w:numPr>
    </w:pPr>
  </w:style>
  <w:style w:type="paragraph" w:customStyle="1" w:styleId="NTGTableBulletList9">
    <w:name w:val="NTG Table Bullet List 9"/>
    <w:basedOn w:val="Normal"/>
    <w:rsid w:val="0027218A"/>
    <w:pPr>
      <w:numPr>
        <w:ilvl w:val="8"/>
        <w:numId w:val="16"/>
      </w:numPr>
    </w:pPr>
  </w:style>
  <w:style w:type="numbering" w:customStyle="1" w:styleId="Numberedstyle">
    <w:name w:val="Numbered style"/>
    <w:uiPriority w:val="99"/>
    <w:rsid w:val="00E34BFA"/>
    <w:pPr>
      <w:numPr>
        <w:numId w:val="17"/>
      </w:numPr>
    </w:pPr>
  </w:style>
  <w:style w:type="paragraph" w:customStyle="1" w:styleId="NTGHiddenAccessiblityFields">
    <w:name w:val="NTG Hidden Accessiblity Fields"/>
    <w:basedOn w:val="Normal"/>
    <w:next w:val="BodyText"/>
    <w:link w:val="NTGHiddenAccessiblityFieldsChar"/>
    <w:qFormat/>
    <w:rsid w:val="00411DF9"/>
    <w:pPr>
      <w:spacing w:before="60"/>
    </w:pPr>
    <w:rPr>
      <w:rFonts w:ascii="Arial Bold" w:hAnsi="Arial Bold"/>
      <w:b/>
      <w:vanish/>
      <w:color w:val="FF0000"/>
      <w:szCs w:val="32"/>
    </w:rPr>
  </w:style>
  <w:style w:type="character" w:customStyle="1" w:styleId="NTGHiddenAccessiblityFieldsChar">
    <w:name w:val="NTG Hidden Accessiblity Fields Char"/>
    <w:basedOn w:val="DefaultParagraphFont"/>
    <w:link w:val="NTGHiddenAccessiblityFields"/>
    <w:rsid w:val="00411DF9"/>
    <w:rPr>
      <w:rFonts w:ascii="Arial Bold" w:hAnsi="Arial Bold"/>
      <w:b/>
      <w:vanish/>
      <w:color w:val="FF000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67167">
      <w:bodyDiv w:val="1"/>
      <w:marLeft w:val="0"/>
      <w:marRight w:val="0"/>
      <w:marTop w:val="0"/>
      <w:marBottom w:val="0"/>
      <w:divBdr>
        <w:top w:val="none" w:sz="0" w:space="0" w:color="auto"/>
        <w:left w:val="none" w:sz="0" w:space="0" w:color="auto"/>
        <w:bottom w:val="none" w:sz="0" w:space="0" w:color="auto"/>
        <w:right w:val="none" w:sz="0" w:space="0" w:color="auto"/>
      </w:divBdr>
    </w:div>
    <w:div w:id="65419502">
      <w:bodyDiv w:val="1"/>
      <w:marLeft w:val="0"/>
      <w:marRight w:val="0"/>
      <w:marTop w:val="0"/>
      <w:marBottom w:val="0"/>
      <w:divBdr>
        <w:top w:val="none" w:sz="0" w:space="0" w:color="auto"/>
        <w:left w:val="none" w:sz="0" w:space="0" w:color="auto"/>
        <w:bottom w:val="none" w:sz="0" w:space="0" w:color="auto"/>
        <w:right w:val="none" w:sz="0" w:space="0" w:color="auto"/>
      </w:divBdr>
    </w:div>
    <w:div w:id="202135421">
      <w:bodyDiv w:val="1"/>
      <w:marLeft w:val="0"/>
      <w:marRight w:val="0"/>
      <w:marTop w:val="0"/>
      <w:marBottom w:val="0"/>
      <w:divBdr>
        <w:top w:val="none" w:sz="0" w:space="0" w:color="auto"/>
        <w:left w:val="none" w:sz="0" w:space="0" w:color="auto"/>
        <w:bottom w:val="none" w:sz="0" w:space="0" w:color="auto"/>
        <w:right w:val="none" w:sz="0" w:space="0" w:color="auto"/>
      </w:divBdr>
    </w:div>
    <w:div w:id="390740419">
      <w:bodyDiv w:val="1"/>
      <w:marLeft w:val="0"/>
      <w:marRight w:val="0"/>
      <w:marTop w:val="0"/>
      <w:marBottom w:val="0"/>
      <w:divBdr>
        <w:top w:val="none" w:sz="0" w:space="0" w:color="auto"/>
        <w:left w:val="none" w:sz="0" w:space="0" w:color="auto"/>
        <w:bottom w:val="none" w:sz="0" w:space="0" w:color="auto"/>
        <w:right w:val="none" w:sz="0" w:space="0" w:color="auto"/>
      </w:divBdr>
    </w:div>
    <w:div w:id="430899300">
      <w:bodyDiv w:val="1"/>
      <w:marLeft w:val="0"/>
      <w:marRight w:val="0"/>
      <w:marTop w:val="0"/>
      <w:marBottom w:val="0"/>
      <w:divBdr>
        <w:top w:val="none" w:sz="0" w:space="0" w:color="auto"/>
        <w:left w:val="none" w:sz="0" w:space="0" w:color="auto"/>
        <w:bottom w:val="none" w:sz="0" w:space="0" w:color="auto"/>
        <w:right w:val="none" w:sz="0" w:space="0" w:color="auto"/>
      </w:divBdr>
    </w:div>
    <w:div w:id="581835427">
      <w:bodyDiv w:val="1"/>
      <w:marLeft w:val="0"/>
      <w:marRight w:val="0"/>
      <w:marTop w:val="0"/>
      <w:marBottom w:val="0"/>
      <w:divBdr>
        <w:top w:val="none" w:sz="0" w:space="0" w:color="auto"/>
        <w:left w:val="none" w:sz="0" w:space="0" w:color="auto"/>
        <w:bottom w:val="none" w:sz="0" w:space="0" w:color="auto"/>
        <w:right w:val="none" w:sz="0" w:space="0" w:color="auto"/>
      </w:divBdr>
    </w:div>
    <w:div w:id="589511630">
      <w:bodyDiv w:val="1"/>
      <w:marLeft w:val="0"/>
      <w:marRight w:val="0"/>
      <w:marTop w:val="0"/>
      <w:marBottom w:val="0"/>
      <w:divBdr>
        <w:top w:val="none" w:sz="0" w:space="0" w:color="auto"/>
        <w:left w:val="none" w:sz="0" w:space="0" w:color="auto"/>
        <w:bottom w:val="none" w:sz="0" w:space="0" w:color="auto"/>
        <w:right w:val="none" w:sz="0" w:space="0" w:color="auto"/>
      </w:divBdr>
    </w:div>
    <w:div w:id="611401889">
      <w:bodyDiv w:val="1"/>
      <w:marLeft w:val="0"/>
      <w:marRight w:val="0"/>
      <w:marTop w:val="0"/>
      <w:marBottom w:val="0"/>
      <w:divBdr>
        <w:top w:val="none" w:sz="0" w:space="0" w:color="auto"/>
        <w:left w:val="none" w:sz="0" w:space="0" w:color="auto"/>
        <w:bottom w:val="none" w:sz="0" w:space="0" w:color="auto"/>
        <w:right w:val="none" w:sz="0" w:space="0" w:color="auto"/>
      </w:divBdr>
    </w:div>
    <w:div w:id="668289413">
      <w:bodyDiv w:val="1"/>
      <w:marLeft w:val="0"/>
      <w:marRight w:val="0"/>
      <w:marTop w:val="0"/>
      <w:marBottom w:val="0"/>
      <w:divBdr>
        <w:top w:val="none" w:sz="0" w:space="0" w:color="auto"/>
        <w:left w:val="none" w:sz="0" w:space="0" w:color="auto"/>
        <w:bottom w:val="none" w:sz="0" w:space="0" w:color="auto"/>
        <w:right w:val="none" w:sz="0" w:space="0" w:color="auto"/>
      </w:divBdr>
    </w:div>
    <w:div w:id="674579149">
      <w:bodyDiv w:val="1"/>
      <w:marLeft w:val="0"/>
      <w:marRight w:val="0"/>
      <w:marTop w:val="0"/>
      <w:marBottom w:val="0"/>
      <w:divBdr>
        <w:top w:val="none" w:sz="0" w:space="0" w:color="auto"/>
        <w:left w:val="none" w:sz="0" w:space="0" w:color="auto"/>
        <w:bottom w:val="none" w:sz="0" w:space="0" w:color="auto"/>
        <w:right w:val="none" w:sz="0" w:space="0" w:color="auto"/>
      </w:divBdr>
    </w:div>
    <w:div w:id="708381543">
      <w:bodyDiv w:val="1"/>
      <w:marLeft w:val="0"/>
      <w:marRight w:val="0"/>
      <w:marTop w:val="0"/>
      <w:marBottom w:val="0"/>
      <w:divBdr>
        <w:top w:val="none" w:sz="0" w:space="0" w:color="auto"/>
        <w:left w:val="none" w:sz="0" w:space="0" w:color="auto"/>
        <w:bottom w:val="none" w:sz="0" w:space="0" w:color="auto"/>
        <w:right w:val="none" w:sz="0" w:space="0" w:color="auto"/>
      </w:divBdr>
    </w:div>
    <w:div w:id="737825142">
      <w:bodyDiv w:val="1"/>
      <w:marLeft w:val="0"/>
      <w:marRight w:val="0"/>
      <w:marTop w:val="0"/>
      <w:marBottom w:val="0"/>
      <w:divBdr>
        <w:top w:val="none" w:sz="0" w:space="0" w:color="auto"/>
        <w:left w:val="none" w:sz="0" w:space="0" w:color="auto"/>
        <w:bottom w:val="none" w:sz="0" w:space="0" w:color="auto"/>
        <w:right w:val="none" w:sz="0" w:space="0" w:color="auto"/>
      </w:divBdr>
    </w:div>
    <w:div w:id="919559777">
      <w:bodyDiv w:val="1"/>
      <w:marLeft w:val="0"/>
      <w:marRight w:val="0"/>
      <w:marTop w:val="0"/>
      <w:marBottom w:val="0"/>
      <w:divBdr>
        <w:top w:val="none" w:sz="0" w:space="0" w:color="auto"/>
        <w:left w:val="none" w:sz="0" w:space="0" w:color="auto"/>
        <w:bottom w:val="none" w:sz="0" w:space="0" w:color="auto"/>
        <w:right w:val="none" w:sz="0" w:space="0" w:color="auto"/>
      </w:divBdr>
    </w:div>
    <w:div w:id="1346403114">
      <w:bodyDiv w:val="1"/>
      <w:marLeft w:val="0"/>
      <w:marRight w:val="0"/>
      <w:marTop w:val="0"/>
      <w:marBottom w:val="0"/>
      <w:divBdr>
        <w:top w:val="none" w:sz="0" w:space="0" w:color="auto"/>
        <w:left w:val="none" w:sz="0" w:space="0" w:color="auto"/>
        <w:bottom w:val="none" w:sz="0" w:space="0" w:color="auto"/>
        <w:right w:val="none" w:sz="0" w:space="0" w:color="auto"/>
      </w:divBdr>
    </w:div>
    <w:div w:id="1452941197">
      <w:bodyDiv w:val="1"/>
      <w:marLeft w:val="0"/>
      <w:marRight w:val="0"/>
      <w:marTop w:val="0"/>
      <w:marBottom w:val="0"/>
      <w:divBdr>
        <w:top w:val="none" w:sz="0" w:space="0" w:color="auto"/>
        <w:left w:val="none" w:sz="0" w:space="0" w:color="auto"/>
        <w:bottom w:val="none" w:sz="0" w:space="0" w:color="auto"/>
        <w:right w:val="none" w:sz="0" w:space="0" w:color="auto"/>
      </w:divBdr>
    </w:div>
    <w:div w:id="1524899716">
      <w:bodyDiv w:val="1"/>
      <w:marLeft w:val="0"/>
      <w:marRight w:val="0"/>
      <w:marTop w:val="0"/>
      <w:marBottom w:val="0"/>
      <w:divBdr>
        <w:top w:val="none" w:sz="0" w:space="0" w:color="auto"/>
        <w:left w:val="none" w:sz="0" w:space="0" w:color="auto"/>
        <w:bottom w:val="none" w:sz="0" w:space="0" w:color="auto"/>
        <w:right w:val="none" w:sz="0" w:space="0" w:color="auto"/>
      </w:divBdr>
    </w:div>
    <w:div w:id="1607037625">
      <w:bodyDiv w:val="1"/>
      <w:marLeft w:val="0"/>
      <w:marRight w:val="0"/>
      <w:marTop w:val="0"/>
      <w:marBottom w:val="0"/>
      <w:divBdr>
        <w:top w:val="none" w:sz="0" w:space="0" w:color="auto"/>
        <w:left w:val="none" w:sz="0" w:space="0" w:color="auto"/>
        <w:bottom w:val="none" w:sz="0" w:space="0" w:color="auto"/>
        <w:right w:val="none" w:sz="0" w:space="0" w:color="auto"/>
      </w:divBdr>
    </w:div>
    <w:div w:id="1924802590">
      <w:bodyDiv w:val="1"/>
      <w:marLeft w:val="0"/>
      <w:marRight w:val="0"/>
      <w:marTop w:val="0"/>
      <w:marBottom w:val="0"/>
      <w:divBdr>
        <w:top w:val="none" w:sz="0" w:space="0" w:color="auto"/>
        <w:left w:val="none" w:sz="0" w:space="0" w:color="auto"/>
        <w:bottom w:val="none" w:sz="0" w:space="0" w:color="auto"/>
        <w:right w:val="none" w:sz="0" w:space="0" w:color="auto"/>
      </w:divBdr>
    </w:div>
    <w:div w:id="2003005003">
      <w:bodyDiv w:val="1"/>
      <w:marLeft w:val="0"/>
      <w:marRight w:val="0"/>
      <w:marTop w:val="0"/>
      <w:marBottom w:val="0"/>
      <w:divBdr>
        <w:top w:val="none" w:sz="0" w:space="0" w:color="auto"/>
        <w:left w:val="none" w:sz="0" w:space="0" w:color="auto"/>
        <w:bottom w:val="none" w:sz="0" w:space="0" w:color="auto"/>
        <w:right w:val="none" w:sz="0" w:space="0" w:color="auto"/>
      </w:divBdr>
    </w:div>
    <w:div w:id="204756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mailto:Digital.Policy@nt.gov.au"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ictsecurity.ntg@nt.gov.a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package" Target="embeddings/Microsoft_Visio_Drawing11.vsdx"/><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8.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do\AppData\Local\Microsoft\Windows\Temporary%20Internet%20Files\Content.Outlook\9DL9TTC7\Policy_Policy%20FrameworkTemplate%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9FFD618A1D4CAB88F9CD04A9504FF2"/>
        <w:category>
          <w:name w:val="General"/>
          <w:gallery w:val="placeholder"/>
        </w:category>
        <w:types>
          <w:type w:val="bbPlcHdr"/>
        </w:types>
        <w:behaviors>
          <w:behavior w:val="content"/>
        </w:behaviors>
        <w:guid w:val="{4EB6FB32-7A79-477F-A418-BAC1CB713B1B}"/>
      </w:docPartPr>
      <w:docPartBody>
        <w:p w:rsidR="00960A6B" w:rsidRDefault="00960A6B">
          <w:pPr>
            <w:pStyle w:val="939FFD618A1D4CAB88F9CD04A9504FF2"/>
          </w:pPr>
          <w:r w:rsidRPr="000C7A6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Lato Black">
    <w:panose1 w:val="020F0502020204030203"/>
    <w:charset w:val="00"/>
    <w:family w:val="swiss"/>
    <w:pitch w:val="variable"/>
    <w:sig w:usb0="E10002FF" w:usb1="5000ECFF" w:usb2="00000021" w:usb3="00000000" w:csb0="000001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A6B"/>
    <w:rsid w:val="001311F1"/>
    <w:rsid w:val="0014051F"/>
    <w:rsid w:val="00255E8D"/>
    <w:rsid w:val="003B7FDA"/>
    <w:rsid w:val="004206D7"/>
    <w:rsid w:val="004E7EC6"/>
    <w:rsid w:val="005973C6"/>
    <w:rsid w:val="00767458"/>
    <w:rsid w:val="009528AE"/>
    <w:rsid w:val="00960A6B"/>
    <w:rsid w:val="00B359BA"/>
    <w:rsid w:val="00C57D14"/>
    <w:rsid w:val="00DA1FB0"/>
    <w:rsid w:val="00E15276"/>
    <w:rsid w:val="00EF6DBF"/>
    <w:rsid w:val="00F645FC"/>
    <w:rsid w:val="00FB68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39FFD618A1D4CAB88F9CD04A9504FF2">
    <w:name w:val="939FFD618A1D4CAB88F9CD04A9504F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78559-F0F2-4647-958D-525E14ED3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Policy_Policy FrameworkTemplate (2)</Template>
  <TotalTime>3</TotalTime>
  <Pages>1</Pages>
  <Words>6461</Words>
  <Characters>36828</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Cloud computing</vt:lpstr>
    </vt:vector>
  </TitlesOfParts>
  <Company>Northern Territory Government</Company>
  <LinksUpToDate>false</LinksUpToDate>
  <CharactersWithSpaces>43203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Cloud computing</dc:title>
  <dc:creator>Office of Digital Government</dc:creator>
  <cp:lastModifiedBy>Fiona Easton</cp:lastModifiedBy>
  <cp:revision>5</cp:revision>
  <cp:lastPrinted>2017-09-21T00:10:00Z</cp:lastPrinted>
  <dcterms:created xsi:type="dcterms:W3CDTF">2017-09-21T00:07:00Z</dcterms:created>
  <dcterms:modified xsi:type="dcterms:W3CDTF">2017-09-21T00:11:00Z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Date">
    <vt:lpwstr>18 September 2017</vt:lpwstr>
  </property>
  <property fmtid="{D5CDD505-2E9C-101B-9397-08002B2CF9AE}" pid="3" name="VersionNo">
    <vt:lpwstr>2.1</vt:lpwstr>
  </property>
  <property fmtid="{D5CDD505-2E9C-101B-9397-08002B2CF9AE}" pid="4" name="DocumentAuthor">
    <vt:lpwstr>Office of Digital Government</vt:lpwstr>
  </property>
  <property fmtid="{D5CDD505-2E9C-101B-9397-08002B2CF9AE}" pid="5" name="DepartmentName">
    <vt:lpwstr>Corporate and Information Services</vt:lpwstr>
  </property>
  <property fmtid="{D5CDD505-2E9C-101B-9397-08002B2CF9AE}" pid="6" name="DepartmentOf">
    <vt:lpwstr>Department of</vt:lpwstr>
  </property>
</Properties>
</file>