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932C08" w14:textId="70A0DE47" w:rsidR="00806800" w:rsidRDefault="00983875" w:rsidP="006777C6">
      <w:pPr>
        <w:pStyle w:val="NTGCoverPageTitle"/>
        <w:tabs>
          <w:tab w:val="left" w:pos="378"/>
        </w:tabs>
        <w:spacing w:after="0"/>
        <w:rPr>
          <w:lang w:val="en-AU"/>
        </w:rPr>
      </w:pPr>
      <w:sdt>
        <w:sdtPr>
          <w:rPr>
            <w:lang w:val="en-AU"/>
          </w:rPr>
          <w:alias w:val="Title"/>
          <w:tag w:val=""/>
          <w:id w:val="-509987125"/>
          <w:placeholder>
            <w:docPart w:val="058AAA4ED6C54DE89AAB1674EDE85712"/>
          </w:placeholder>
          <w:dataBinding w:prefixMappings="xmlns:ns0='http://purl.org/dc/elements/1.1/' xmlns:ns1='http://schemas.openxmlformats.org/package/2006/metadata/core-properties' " w:xpath="/ns1:coreProperties[1]/ns0:title[1]" w:storeItemID="{6C3C8BC8-F283-45AE-878A-BAB7291924A1}"/>
          <w:text/>
        </w:sdtPr>
        <w:sdtEndPr/>
        <w:sdtContent>
          <w:r w:rsidR="006777C6">
            <w:rPr>
              <w:lang w:val="en-AU"/>
            </w:rPr>
            <w:t xml:space="preserve">Northern Territory Public Sector Organisations </w:t>
          </w:r>
          <w:r w:rsidR="00E71C08">
            <w:rPr>
              <w:lang w:val="en-AU"/>
            </w:rPr>
            <w:t xml:space="preserve">Records and Information </w:t>
          </w:r>
          <w:r w:rsidR="00253670">
            <w:rPr>
              <w:lang w:val="en-AU"/>
            </w:rPr>
            <w:t>M</w:t>
          </w:r>
          <w:r w:rsidR="00E71C08">
            <w:rPr>
              <w:lang w:val="en-AU"/>
            </w:rPr>
            <w:t>anagement Standard</w:t>
          </w:r>
        </w:sdtContent>
      </w:sdt>
    </w:p>
    <w:p w14:paraId="130D2106" w14:textId="77777777" w:rsidR="00633409" w:rsidRPr="00AB698F" w:rsidRDefault="00633409" w:rsidP="006777C6">
      <w:pPr>
        <w:pStyle w:val="SubTitle0"/>
      </w:pPr>
      <w:r w:rsidRPr="00AB698F">
        <w:t>Effective management of records and information underpins accountability in the conduct of government business.</w:t>
      </w:r>
    </w:p>
    <w:p w14:paraId="16D3A45F" w14:textId="77777777" w:rsidR="006777C6" w:rsidRDefault="0066738F" w:rsidP="006777C6">
      <w:pPr>
        <w:pStyle w:val="NTGCoverPageDate"/>
        <w:tabs>
          <w:tab w:val="left" w:pos="3163"/>
        </w:tabs>
      </w:pPr>
      <w:fldSimple w:instr=" DOCPROPERTY  DocumentDate  \* MERGEFORMAT ">
        <w:r w:rsidR="00C8083D">
          <w:t>23 October 2017</w:t>
        </w:r>
      </w:fldSimple>
    </w:p>
    <w:p w14:paraId="50558DE1" w14:textId="5C96DCFA" w:rsidR="006777C6" w:rsidRPr="002E3B83" w:rsidRDefault="006777C6" w:rsidP="006777C6">
      <w:pPr>
        <w:pStyle w:val="NTGCoverPageVersion"/>
        <w:rPr>
          <w:rFonts w:eastAsiaTheme="majorEastAsia"/>
        </w:rPr>
      </w:pPr>
      <w:r>
        <w:rPr>
          <w:rFonts w:eastAsiaTheme="majorEastAsia"/>
        </w:rPr>
        <w:t>Version </w:t>
      </w:r>
      <w:r>
        <w:rPr>
          <w:rFonts w:eastAsiaTheme="majorEastAsia"/>
        </w:rPr>
        <w:fldChar w:fldCharType="begin"/>
      </w:r>
      <w:r>
        <w:rPr>
          <w:rFonts w:eastAsiaTheme="majorEastAsia"/>
        </w:rPr>
        <w:instrText xml:space="preserve"> DOCPROPERTY  VersionNo  \* MERGEFORMAT </w:instrText>
      </w:r>
      <w:r>
        <w:rPr>
          <w:rFonts w:eastAsiaTheme="majorEastAsia"/>
        </w:rPr>
        <w:fldChar w:fldCharType="separate"/>
      </w:r>
      <w:r>
        <w:rPr>
          <w:rFonts w:eastAsiaTheme="majorEastAsia"/>
        </w:rPr>
        <w:t>1.1</w:t>
      </w:r>
      <w:r>
        <w:rPr>
          <w:rFonts w:eastAsiaTheme="majorEastAsia"/>
        </w:rPr>
        <w:fldChar w:fldCharType="end"/>
      </w:r>
    </w:p>
    <w:p w14:paraId="32BFEF22" w14:textId="77777777" w:rsidR="005D269A" w:rsidRPr="002E3B83" w:rsidRDefault="005D269A" w:rsidP="00420C06">
      <w:pPr>
        <w:rPr>
          <w:rFonts w:eastAsiaTheme="majorEastAsia"/>
        </w:rPr>
      </w:pPr>
    </w:p>
    <w:p w14:paraId="0845AAAB" w14:textId="77777777" w:rsidR="00634329" w:rsidRPr="002E3B83" w:rsidRDefault="00634329" w:rsidP="00420C06">
      <w:pPr>
        <w:sectPr w:rsidR="00634329" w:rsidRPr="002E3B83" w:rsidSect="00687540">
          <w:headerReference w:type="default" r:id="rId8"/>
          <w:footerReference w:type="default" r:id="rId9"/>
          <w:headerReference w:type="first" r:id="rId10"/>
          <w:footerReference w:type="first" r:id="rId11"/>
          <w:pgSz w:w="11906" w:h="16838" w:code="9"/>
          <w:pgMar w:top="2268" w:right="1134" w:bottom="1701" w:left="1134" w:header="709" w:footer="0" w:gutter="0"/>
          <w:cols w:space="708"/>
          <w:titlePg/>
          <w:docGrid w:linePitch="360"/>
        </w:sectPr>
      </w:pPr>
    </w:p>
    <w:tbl>
      <w:tblPr>
        <w:tblStyle w:val="NTGTable"/>
        <w:tblW w:w="0" w:type="auto"/>
        <w:tblLook w:val="06A0" w:firstRow="1" w:lastRow="0" w:firstColumn="1" w:lastColumn="0" w:noHBand="1" w:noVBand="1"/>
        <w:tblDescription w:val="Document details showing document title, contact details, version, date issued, approved by, date approved and document review"/>
      </w:tblPr>
      <w:tblGrid>
        <w:gridCol w:w="2376"/>
        <w:gridCol w:w="7263"/>
      </w:tblGrid>
      <w:tr w:rsidR="006621DD" w:rsidRPr="005F764E" w14:paraId="6E62200D" w14:textId="77777777" w:rsidTr="005F764E">
        <w:trPr>
          <w:cnfStyle w:val="100000000000" w:firstRow="1" w:lastRow="0" w:firstColumn="0" w:lastColumn="0" w:oddVBand="0" w:evenVBand="0" w:oddHBand="0" w:evenHBand="0" w:firstRowFirstColumn="0" w:firstRowLastColumn="0" w:lastRowFirstColumn="0" w:lastRowLastColumn="0"/>
        </w:trPr>
        <w:tc>
          <w:tcPr>
            <w:tcW w:w="9639" w:type="dxa"/>
            <w:gridSpan w:val="2"/>
          </w:tcPr>
          <w:p w14:paraId="73B12840" w14:textId="77777777" w:rsidR="006A769B" w:rsidRPr="005F764E" w:rsidRDefault="006A769B" w:rsidP="005F764E">
            <w:pPr>
              <w:pStyle w:val="NTGTableText"/>
              <w:rPr>
                <w:bCs/>
              </w:rPr>
            </w:pPr>
            <w:r w:rsidRPr="005F764E">
              <w:rPr>
                <w:bCs/>
              </w:rPr>
              <w:lastRenderedPageBreak/>
              <w:t>Document details</w:t>
            </w:r>
          </w:p>
        </w:tc>
      </w:tr>
      <w:tr w:rsidR="00A24C50" w:rsidRPr="005F764E" w14:paraId="0BF24441" w14:textId="77777777" w:rsidTr="005F764E">
        <w:tc>
          <w:tcPr>
            <w:tcW w:w="2376" w:type="dxa"/>
          </w:tcPr>
          <w:p w14:paraId="457475DA" w14:textId="77777777" w:rsidR="00A24C50" w:rsidRPr="006777C6" w:rsidRDefault="00A24C50" w:rsidP="005F764E">
            <w:pPr>
              <w:pStyle w:val="NTGTableText"/>
              <w:rPr>
                <w:b/>
                <w:bCs/>
                <w:szCs w:val="22"/>
              </w:rPr>
            </w:pPr>
            <w:r w:rsidRPr="006777C6">
              <w:rPr>
                <w:b/>
                <w:bCs/>
                <w:szCs w:val="22"/>
              </w:rPr>
              <w:t>Document title</w:t>
            </w:r>
          </w:p>
        </w:tc>
        <w:tc>
          <w:tcPr>
            <w:tcW w:w="7263" w:type="dxa"/>
          </w:tcPr>
          <w:p w14:paraId="1FDA1206" w14:textId="77777777" w:rsidR="00A24C50" w:rsidRPr="006777C6" w:rsidRDefault="00FB5006" w:rsidP="00253670">
            <w:pPr>
              <w:pStyle w:val="NTGTableText"/>
              <w:rPr>
                <w:bCs/>
                <w:szCs w:val="22"/>
              </w:rPr>
            </w:pPr>
            <w:r w:rsidRPr="006777C6">
              <w:rPr>
                <w:bCs/>
                <w:szCs w:val="22"/>
              </w:rPr>
              <w:fldChar w:fldCharType="begin"/>
            </w:r>
            <w:r w:rsidRPr="006777C6">
              <w:rPr>
                <w:bCs/>
                <w:szCs w:val="22"/>
              </w:rPr>
              <w:instrText xml:space="preserve"> TITLE  </w:instrText>
            </w:r>
            <w:r w:rsidRPr="006777C6">
              <w:rPr>
                <w:bCs/>
                <w:szCs w:val="22"/>
              </w:rPr>
              <w:fldChar w:fldCharType="separate"/>
            </w:r>
            <w:r w:rsidR="00137663" w:rsidRPr="006777C6">
              <w:rPr>
                <w:bCs/>
                <w:szCs w:val="22"/>
              </w:rPr>
              <w:t>Records and Information Management Standard</w:t>
            </w:r>
            <w:r w:rsidRPr="006777C6">
              <w:rPr>
                <w:bCs/>
                <w:szCs w:val="22"/>
              </w:rPr>
              <w:fldChar w:fldCharType="end"/>
            </w:r>
          </w:p>
        </w:tc>
      </w:tr>
      <w:tr w:rsidR="00A24C50" w:rsidRPr="005F764E" w14:paraId="1BE77616" w14:textId="77777777" w:rsidTr="005F764E">
        <w:tc>
          <w:tcPr>
            <w:tcW w:w="2376" w:type="dxa"/>
          </w:tcPr>
          <w:p w14:paraId="68311D72" w14:textId="77777777" w:rsidR="00A24C50" w:rsidRPr="006777C6" w:rsidRDefault="00A24C50" w:rsidP="005F764E">
            <w:pPr>
              <w:pStyle w:val="NTGTableText"/>
              <w:rPr>
                <w:b/>
                <w:bCs/>
                <w:szCs w:val="22"/>
              </w:rPr>
            </w:pPr>
            <w:r w:rsidRPr="006777C6">
              <w:rPr>
                <w:b/>
                <w:bCs/>
                <w:szCs w:val="22"/>
              </w:rPr>
              <w:t>Contact details</w:t>
            </w:r>
          </w:p>
        </w:tc>
        <w:tc>
          <w:tcPr>
            <w:tcW w:w="7263" w:type="dxa"/>
          </w:tcPr>
          <w:p w14:paraId="3F438238" w14:textId="3681AA2B" w:rsidR="00A24C50" w:rsidRPr="006777C6" w:rsidRDefault="006777C6" w:rsidP="005F764E">
            <w:pPr>
              <w:pStyle w:val="NTGTableText"/>
              <w:rPr>
                <w:bCs/>
                <w:szCs w:val="22"/>
              </w:rPr>
            </w:pPr>
            <w:r w:rsidRPr="006777C6">
              <w:rPr>
                <w:szCs w:val="22"/>
              </w:rPr>
              <w:t>Office of Digital Government</w:t>
            </w:r>
            <w:r w:rsidRPr="006777C6">
              <w:rPr>
                <w:szCs w:val="22"/>
              </w:rPr>
              <w:br/>
              <w:t>Department of Corporate and Information Services (DCIS</w:t>
            </w:r>
            <w:proofErr w:type="gramStart"/>
            <w:r w:rsidRPr="006777C6">
              <w:rPr>
                <w:szCs w:val="22"/>
              </w:rPr>
              <w:t>)</w:t>
            </w:r>
            <w:proofErr w:type="gramEnd"/>
            <w:r w:rsidRPr="006777C6">
              <w:rPr>
                <w:szCs w:val="22"/>
              </w:rPr>
              <w:br/>
              <w:t>Northern Territory Government (NTG).</w:t>
            </w:r>
          </w:p>
        </w:tc>
      </w:tr>
      <w:tr w:rsidR="00A24C50" w:rsidRPr="005F764E" w14:paraId="5570C7BC" w14:textId="77777777" w:rsidTr="005F764E">
        <w:tc>
          <w:tcPr>
            <w:tcW w:w="2376" w:type="dxa"/>
          </w:tcPr>
          <w:p w14:paraId="19A9F85F" w14:textId="77777777" w:rsidR="00A24C50" w:rsidRPr="006777C6" w:rsidRDefault="00A24C50" w:rsidP="005F764E">
            <w:pPr>
              <w:pStyle w:val="NTGTableText"/>
              <w:rPr>
                <w:b/>
                <w:bCs/>
                <w:szCs w:val="22"/>
              </w:rPr>
            </w:pPr>
            <w:r w:rsidRPr="006777C6">
              <w:rPr>
                <w:b/>
                <w:bCs/>
                <w:szCs w:val="22"/>
              </w:rPr>
              <w:t>Date and version</w:t>
            </w:r>
          </w:p>
        </w:tc>
        <w:tc>
          <w:tcPr>
            <w:tcW w:w="7263" w:type="dxa"/>
          </w:tcPr>
          <w:p w14:paraId="5B58F94C" w14:textId="77777777" w:rsidR="006777C6" w:rsidRPr="006777C6" w:rsidRDefault="006777C6" w:rsidP="006777C6">
            <w:pPr>
              <w:pStyle w:val="NTGTableText"/>
              <w:rPr>
                <w:szCs w:val="22"/>
              </w:rPr>
            </w:pPr>
            <w:r w:rsidRPr="006777C6">
              <w:rPr>
                <w:szCs w:val="22"/>
              </w:rPr>
              <w:fldChar w:fldCharType="begin"/>
            </w:r>
            <w:r w:rsidRPr="006777C6">
              <w:rPr>
                <w:szCs w:val="22"/>
              </w:rPr>
              <w:instrText xml:space="preserve"> DOCPROPERTY  DocumentDate  \* MERGEFORMAT </w:instrText>
            </w:r>
            <w:r w:rsidRPr="006777C6">
              <w:rPr>
                <w:szCs w:val="22"/>
              </w:rPr>
              <w:fldChar w:fldCharType="separate"/>
            </w:r>
            <w:r w:rsidRPr="006777C6">
              <w:rPr>
                <w:szCs w:val="22"/>
              </w:rPr>
              <w:t>23 October 2017</w:t>
            </w:r>
            <w:r w:rsidRPr="006777C6">
              <w:rPr>
                <w:szCs w:val="22"/>
              </w:rPr>
              <w:fldChar w:fldCharType="end"/>
            </w:r>
          </w:p>
          <w:p w14:paraId="1DFB86D8" w14:textId="7F60CA32" w:rsidR="00A24C50" w:rsidRPr="006777C6" w:rsidRDefault="006777C6" w:rsidP="006777C6">
            <w:pPr>
              <w:pStyle w:val="NTGTableText"/>
              <w:rPr>
                <w:bCs/>
                <w:szCs w:val="22"/>
              </w:rPr>
            </w:pPr>
            <w:r w:rsidRPr="006777C6">
              <w:rPr>
                <w:szCs w:val="22"/>
              </w:rPr>
              <w:t>Version </w:t>
            </w:r>
            <w:r w:rsidRPr="006777C6">
              <w:rPr>
                <w:szCs w:val="22"/>
              </w:rPr>
              <w:fldChar w:fldCharType="begin"/>
            </w:r>
            <w:r w:rsidRPr="006777C6">
              <w:rPr>
                <w:szCs w:val="22"/>
              </w:rPr>
              <w:instrText xml:space="preserve"> DOCPROPERTY  VersionNo  \* MERGEFORMAT </w:instrText>
            </w:r>
            <w:r w:rsidRPr="006777C6">
              <w:rPr>
                <w:szCs w:val="22"/>
              </w:rPr>
              <w:fldChar w:fldCharType="separate"/>
            </w:r>
            <w:r w:rsidRPr="006777C6">
              <w:rPr>
                <w:szCs w:val="22"/>
              </w:rPr>
              <w:t>1.1</w:t>
            </w:r>
            <w:r w:rsidRPr="006777C6">
              <w:rPr>
                <w:szCs w:val="22"/>
              </w:rPr>
              <w:fldChar w:fldCharType="end"/>
            </w:r>
          </w:p>
        </w:tc>
      </w:tr>
      <w:tr w:rsidR="006A769B" w:rsidRPr="005F764E" w14:paraId="7ACCA069" w14:textId="77777777" w:rsidTr="005F764E">
        <w:tc>
          <w:tcPr>
            <w:tcW w:w="2376" w:type="dxa"/>
          </w:tcPr>
          <w:p w14:paraId="62AB6B22" w14:textId="77777777" w:rsidR="006A769B" w:rsidRPr="005F764E" w:rsidRDefault="006A769B" w:rsidP="005F764E">
            <w:pPr>
              <w:pStyle w:val="NTGTableText"/>
              <w:rPr>
                <w:b/>
                <w:bCs/>
              </w:rPr>
            </w:pPr>
            <w:r w:rsidRPr="005F764E">
              <w:rPr>
                <w:b/>
                <w:bCs/>
              </w:rPr>
              <w:t>Approved by</w:t>
            </w:r>
          </w:p>
        </w:tc>
        <w:tc>
          <w:tcPr>
            <w:tcW w:w="7263" w:type="dxa"/>
          </w:tcPr>
          <w:p w14:paraId="6539F082" w14:textId="77777777" w:rsidR="007D7E7C" w:rsidRPr="005F764E" w:rsidRDefault="007D7E7C" w:rsidP="005F764E">
            <w:pPr>
              <w:pStyle w:val="NTGTableText"/>
              <w:rPr>
                <w:bCs/>
              </w:rPr>
            </w:pPr>
          </w:p>
        </w:tc>
      </w:tr>
      <w:tr w:rsidR="006A769B" w:rsidRPr="005F764E" w14:paraId="30F556D0" w14:textId="77777777" w:rsidTr="005F764E">
        <w:tc>
          <w:tcPr>
            <w:tcW w:w="2376" w:type="dxa"/>
          </w:tcPr>
          <w:p w14:paraId="1732DFA6" w14:textId="77777777" w:rsidR="006A769B" w:rsidRPr="005F764E" w:rsidRDefault="006A769B" w:rsidP="005F764E">
            <w:pPr>
              <w:pStyle w:val="NTGTableText"/>
              <w:rPr>
                <w:b/>
                <w:bCs/>
              </w:rPr>
            </w:pPr>
            <w:r w:rsidRPr="005F764E">
              <w:rPr>
                <w:b/>
                <w:bCs/>
              </w:rPr>
              <w:t>Date approved</w:t>
            </w:r>
          </w:p>
        </w:tc>
        <w:tc>
          <w:tcPr>
            <w:tcW w:w="7263" w:type="dxa"/>
          </w:tcPr>
          <w:p w14:paraId="15BA8E64" w14:textId="77777777" w:rsidR="006A769B" w:rsidRPr="005F764E" w:rsidRDefault="006A769B" w:rsidP="005F764E">
            <w:pPr>
              <w:pStyle w:val="NTGTableText"/>
              <w:rPr>
                <w:bCs/>
              </w:rPr>
            </w:pPr>
          </w:p>
        </w:tc>
      </w:tr>
      <w:tr w:rsidR="006A769B" w:rsidRPr="005F764E" w14:paraId="06F5A6A8" w14:textId="77777777" w:rsidTr="005F764E">
        <w:tc>
          <w:tcPr>
            <w:tcW w:w="2376" w:type="dxa"/>
          </w:tcPr>
          <w:p w14:paraId="4F104426" w14:textId="77777777" w:rsidR="006A769B" w:rsidRPr="005F764E" w:rsidRDefault="006A769B" w:rsidP="005F764E">
            <w:pPr>
              <w:pStyle w:val="NTGTableText"/>
              <w:rPr>
                <w:b/>
                <w:bCs/>
              </w:rPr>
            </w:pPr>
            <w:r w:rsidRPr="005F764E">
              <w:rPr>
                <w:b/>
                <w:bCs/>
              </w:rPr>
              <w:t>Document review</w:t>
            </w:r>
            <w:r w:rsidR="003D5DCE" w:rsidRPr="005F764E">
              <w:rPr>
                <w:b/>
                <w:bCs/>
              </w:rPr>
              <w:br/>
            </w:r>
            <w:r w:rsidR="003D5DCE" w:rsidRPr="005F764E">
              <w:rPr>
                <w:bCs/>
                <w:sz w:val="20"/>
              </w:rPr>
              <w:t>(for example, annually)</w:t>
            </w:r>
          </w:p>
        </w:tc>
        <w:tc>
          <w:tcPr>
            <w:tcW w:w="7263" w:type="dxa"/>
          </w:tcPr>
          <w:p w14:paraId="3E1356CC" w14:textId="6036A95C" w:rsidR="006A769B" w:rsidRPr="005F764E" w:rsidRDefault="006777C6" w:rsidP="005F764E">
            <w:pPr>
              <w:pStyle w:val="NTGTableText"/>
              <w:rPr>
                <w:bCs/>
              </w:rPr>
            </w:pPr>
            <w:r>
              <w:rPr>
                <w:bCs/>
              </w:rPr>
              <w:t>As required.</w:t>
            </w:r>
          </w:p>
        </w:tc>
      </w:tr>
    </w:tbl>
    <w:p w14:paraId="190726A4" w14:textId="77777777" w:rsidR="006A769B" w:rsidRPr="002E3B83" w:rsidRDefault="006A769B" w:rsidP="00420C06"/>
    <w:tbl>
      <w:tblPr>
        <w:tblStyle w:val="NTGTable"/>
        <w:tblW w:w="0" w:type="auto"/>
        <w:tblLook w:val="0620" w:firstRow="1" w:lastRow="0" w:firstColumn="0" w:lastColumn="0" w:noHBand="1" w:noVBand="1"/>
        <w:tblDescription w:val="Document change history showing version, date, author and change details"/>
      </w:tblPr>
      <w:tblGrid>
        <w:gridCol w:w="1090"/>
        <w:gridCol w:w="2149"/>
        <w:gridCol w:w="2479"/>
        <w:gridCol w:w="3958"/>
      </w:tblGrid>
      <w:tr w:rsidR="006621DD" w:rsidRPr="002E3B83" w14:paraId="4BEA9C6D" w14:textId="77777777" w:rsidTr="00CF0455">
        <w:trPr>
          <w:cnfStyle w:val="100000000000" w:firstRow="1" w:lastRow="0" w:firstColumn="0" w:lastColumn="0" w:oddVBand="0" w:evenVBand="0" w:oddHBand="0" w:evenHBand="0" w:firstRowFirstColumn="0" w:firstRowLastColumn="0" w:lastRowFirstColumn="0" w:lastRowLastColumn="0"/>
        </w:trPr>
        <w:tc>
          <w:tcPr>
            <w:tcW w:w="9676" w:type="dxa"/>
            <w:gridSpan w:val="4"/>
          </w:tcPr>
          <w:p w14:paraId="4262307A" w14:textId="77777777" w:rsidR="006A769B" w:rsidRPr="002E3B83" w:rsidRDefault="006A769B" w:rsidP="005F764E">
            <w:pPr>
              <w:pStyle w:val="NTGTableText"/>
              <w:rPr>
                <w:b w:val="0"/>
              </w:rPr>
            </w:pPr>
            <w:r w:rsidRPr="002E3B83">
              <w:t>Change history</w:t>
            </w:r>
          </w:p>
        </w:tc>
      </w:tr>
      <w:tr w:rsidR="006A769B" w:rsidRPr="005F764E" w14:paraId="6BE5A770" w14:textId="77777777" w:rsidTr="00CF0455">
        <w:tc>
          <w:tcPr>
            <w:tcW w:w="1090" w:type="dxa"/>
          </w:tcPr>
          <w:p w14:paraId="027FCEDA" w14:textId="77777777" w:rsidR="006A769B" w:rsidRPr="005F764E" w:rsidRDefault="006A769B" w:rsidP="005F764E">
            <w:pPr>
              <w:pStyle w:val="NTGTableText"/>
              <w:rPr>
                <w:b/>
              </w:rPr>
            </w:pPr>
            <w:r w:rsidRPr="005F764E">
              <w:rPr>
                <w:b/>
              </w:rPr>
              <w:t>Version</w:t>
            </w:r>
          </w:p>
        </w:tc>
        <w:tc>
          <w:tcPr>
            <w:tcW w:w="2149" w:type="dxa"/>
          </w:tcPr>
          <w:p w14:paraId="7C2F3F15" w14:textId="77777777" w:rsidR="006A769B" w:rsidRPr="005F764E" w:rsidRDefault="006A769B" w:rsidP="005F764E">
            <w:pPr>
              <w:pStyle w:val="NTGTableText"/>
              <w:rPr>
                <w:b/>
              </w:rPr>
            </w:pPr>
            <w:r w:rsidRPr="005F764E">
              <w:rPr>
                <w:b/>
              </w:rPr>
              <w:t>Date</w:t>
            </w:r>
          </w:p>
        </w:tc>
        <w:tc>
          <w:tcPr>
            <w:tcW w:w="2479" w:type="dxa"/>
          </w:tcPr>
          <w:p w14:paraId="3B940A2F" w14:textId="77777777" w:rsidR="006A769B" w:rsidRPr="005F764E" w:rsidRDefault="006A769B" w:rsidP="005F764E">
            <w:pPr>
              <w:pStyle w:val="NTGTableText"/>
              <w:rPr>
                <w:b/>
              </w:rPr>
            </w:pPr>
            <w:r w:rsidRPr="005F764E">
              <w:rPr>
                <w:b/>
              </w:rPr>
              <w:t>Author</w:t>
            </w:r>
          </w:p>
        </w:tc>
        <w:tc>
          <w:tcPr>
            <w:tcW w:w="3958" w:type="dxa"/>
          </w:tcPr>
          <w:p w14:paraId="395779BA" w14:textId="77777777" w:rsidR="006A769B" w:rsidRPr="005F764E" w:rsidRDefault="006A769B" w:rsidP="005F764E">
            <w:pPr>
              <w:pStyle w:val="NTGTableText"/>
              <w:rPr>
                <w:b/>
              </w:rPr>
            </w:pPr>
            <w:r w:rsidRPr="005F764E">
              <w:rPr>
                <w:b/>
              </w:rPr>
              <w:t>Change details</w:t>
            </w:r>
          </w:p>
        </w:tc>
      </w:tr>
      <w:tr w:rsidR="003A2A2B" w:rsidRPr="002E3B83" w14:paraId="57978A1D" w14:textId="77777777" w:rsidTr="00CF0455">
        <w:tc>
          <w:tcPr>
            <w:tcW w:w="1090" w:type="dxa"/>
          </w:tcPr>
          <w:p w14:paraId="64556FD7" w14:textId="77777777" w:rsidR="003A2A2B" w:rsidRDefault="009D1880" w:rsidP="009D1880">
            <w:pPr>
              <w:pStyle w:val="NTGTableText"/>
            </w:pPr>
            <w:r>
              <w:t>1</w:t>
            </w:r>
            <w:r w:rsidR="00606F52">
              <w:t>.</w:t>
            </w:r>
            <w:r>
              <w:t>0</w:t>
            </w:r>
          </w:p>
        </w:tc>
        <w:tc>
          <w:tcPr>
            <w:tcW w:w="2149" w:type="dxa"/>
          </w:tcPr>
          <w:p w14:paraId="3CB08A8F" w14:textId="40769CE8" w:rsidR="003A2A2B" w:rsidRDefault="009D1880" w:rsidP="006777C6">
            <w:pPr>
              <w:pStyle w:val="NTGTableText"/>
            </w:pPr>
            <w:r>
              <w:t>15</w:t>
            </w:r>
            <w:r w:rsidR="006777C6">
              <w:t> </w:t>
            </w:r>
            <w:r>
              <w:t>June</w:t>
            </w:r>
            <w:r w:rsidR="006777C6">
              <w:t> </w:t>
            </w:r>
            <w:r>
              <w:t>2017</w:t>
            </w:r>
          </w:p>
        </w:tc>
        <w:tc>
          <w:tcPr>
            <w:tcW w:w="2479" w:type="dxa"/>
          </w:tcPr>
          <w:p w14:paraId="5BC068AA" w14:textId="77777777" w:rsidR="003A2A2B" w:rsidRPr="002E3B83" w:rsidRDefault="0066738F" w:rsidP="009D1880">
            <w:pPr>
              <w:pStyle w:val="NTGTableText"/>
            </w:pPr>
            <w:r>
              <w:fldChar w:fldCharType="begin"/>
            </w:r>
            <w:r>
              <w:instrText xml:space="preserve"> DOCPROPERTY  DocumentAuthor  \* MERGEFORMAT </w:instrText>
            </w:r>
            <w:r>
              <w:fldChar w:fldCharType="separate"/>
            </w:r>
            <w:r w:rsidR="00137663">
              <w:t>D</w:t>
            </w:r>
            <w:r w:rsidR="009D1880">
              <w:t>igital Policy</w:t>
            </w:r>
            <w:r>
              <w:fldChar w:fldCharType="end"/>
            </w:r>
          </w:p>
        </w:tc>
        <w:tc>
          <w:tcPr>
            <w:tcW w:w="3958" w:type="dxa"/>
          </w:tcPr>
          <w:p w14:paraId="7F7C1DFE" w14:textId="77777777" w:rsidR="003A2A2B" w:rsidRDefault="009D1880" w:rsidP="009D1880">
            <w:pPr>
              <w:pStyle w:val="NTGTableText"/>
            </w:pPr>
            <w:r>
              <w:t xml:space="preserve">Consultation </w:t>
            </w:r>
            <w:r w:rsidR="003A2A2B">
              <w:t>draft</w:t>
            </w:r>
          </w:p>
        </w:tc>
      </w:tr>
      <w:tr w:rsidR="00171ACA" w:rsidRPr="002E3B83" w14:paraId="044191CE" w14:textId="77777777" w:rsidTr="00CF0455">
        <w:tc>
          <w:tcPr>
            <w:tcW w:w="1090" w:type="dxa"/>
          </w:tcPr>
          <w:p w14:paraId="6B9A69A7" w14:textId="77777777" w:rsidR="00171ACA" w:rsidRDefault="00171ACA" w:rsidP="009D1880">
            <w:pPr>
              <w:pStyle w:val="NTGTableText"/>
            </w:pPr>
            <w:r>
              <w:t>1.1</w:t>
            </w:r>
          </w:p>
        </w:tc>
        <w:tc>
          <w:tcPr>
            <w:tcW w:w="2149" w:type="dxa"/>
          </w:tcPr>
          <w:p w14:paraId="1DD413D2" w14:textId="66EEB18A" w:rsidR="00171ACA" w:rsidRDefault="00966E27" w:rsidP="006777C6">
            <w:pPr>
              <w:pStyle w:val="NTGTableText"/>
            </w:pPr>
            <w:r>
              <w:t>23</w:t>
            </w:r>
            <w:r w:rsidR="006777C6">
              <w:t> </w:t>
            </w:r>
            <w:r>
              <w:t>October</w:t>
            </w:r>
            <w:r w:rsidR="006777C6">
              <w:t> </w:t>
            </w:r>
            <w:r w:rsidR="00171ACA">
              <w:t>2017</w:t>
            </w:r>
          </w:p>
        </w:tc>
        <w:tc>
          <w:tcPr>
            <w:tcW w:w="2479" w:type="dxa"/>
          </w:tcPr>
          <w:p w14:paraId="6C092558" w14:textId="41D21E6A" w:rsidR="00171ACA" w:rsidRDefault="00171ACA" w:rsidP="001C194D">
            <w:pPr>
              <w:pStyle w:val="NTGTableText"/>
            </w:pPr>
            <w:r>
              <w:t>D</w:t>
            </w:r>
            <w:r w:rsidR="001C194D">
              <w:t>igital Policy</w:t>
            </w:r>
          </w:p>
        </w:tc>
        <w:tc>
          <w:tcPr>
            <w:tcW w:w="3958" w:type="dxa"/>
          </w:tcPr>
          <w:p w14:paraId="35EA9ACE" w14:textId="77777777" w:rsidR="00171ACA" w:rsidRDefault="00171ACA" w:rsidP="009D1880">
            <w:pPr>
              <w:pStyle w:val="NTGTableText"/>
            </w:pPr>
            <w:r>
              <w:t>Post consultation updates</w:t>
            </w:r>
          </w:p>
        </w:tc>
      </w:tr>
    </w:tbl>
    <w:p w14:paraId="62832B74" w14:textId="77777777" w:rsidR="006A769B" w:rsidRPr="002E3B83" w:rsidRDefault="006A769B" w:rsidP="00420C06"/>
    <w:p w14:paraId="3A6BB5A9" w14:textId="77777777" w:rsidR="006A769B" w:rsidRPr="005C07F4" w:rsidRDefault="006A769B" w:rsidP="005C07F4">
      <w:pPr>
        <w:sectPr w:rsidR="006A769B" w:rsidRPr="005C07F4" w:rsidSect="006777C6">
          <w:headerReference w:type="default" r:id="rId12"/>
          <w:headerReference w:type="first" r:id="rId13"/>
          <w:footerReference w:type="first" r:id="rId14"/>
          <w:pgSz w:w="11906" w:h="16838" w:code="9"/>
          <w:pgMar w:top="1134" w:right="566" w:bottom="1134" w:left="1134" w:header="709" w:footer="90" w:gutter="0"/>
          <w:cols w:space="708"/>
          <w:docGrid w:linePitch="360"/>
        </w:sectPr>
      </w:pPr>
    </w:p>
    <w:sdt>
      <w:sdtPr>
        <w:rPr>
          <w:rFonts w:eastAsia="Calibri" w:cs="Times New Roman"/>
          <w:b w:val="0"/>
          <w:bCs w:val="0"/>
          <w:sz w:val="22"/>
          <w:szCs w:val="22"/>
          <w:lang w:eastAsia="en-US"/>
        </w:rPr>
        <w:id w:val="2025363140"/>
        <w:docPartObj>
          <w:docPartGallery w:val="Table of Contents"/>
          <w:docPartUnique/>
        </w:docPartObj>
      </w:sdtPr>
      <w:sdtEndPr>
        <w:rPr>
          <w:noProof/>
        </w:rPr>
      </w:sdtEndPr>
      <w:sdtContent>
        <w:p w14:paraId="5124F26E" w14:textId="77777777" w:rsidR="00301998" w:rsidRDefault="00301998">
          <w:pPr>
            <w:pStyle w:val="TOCHeading"/>
          </w:pPr>
          <w:r>
            <w:t>Contents</w:t>
          </w:r>
        </w:p>
        <w:p w14:paraId="7FEAB4A7" w14:textId="77777777" w:rsidR="00831054" w:rsidRDefault="00301998">
          <w:pPr>
            <w:pStyle w:val="TOC1"/>
            <w:rPr>
              <w:rFonts w:asciiTheme="minorHAnsi" w:hAnsiTheme="minorHAnsi" w:cstheme="minorBidi"/>
              <w:b w:val="0"/>
            </w:rPr>
          </w:pPr>
          <w:r>
            <w:fldChar w:fldCharType="begin"/>
          </w:r>
          <w:r>
            <w:instrText xml:space="preserve"> TOC \o "1-3" \h \z \u </w:instrText>
          </w:r>
          <w:r>
            <w:fldChar w:fldCharType="separate"/>
          </w:r>
          <w:bookmarkStart w:id="0" w:name="_GoBack"/>
          <w:bookmarkEnd w:id="0"/>
          <w:r w:rsidR="00831054" w:rsidRPr="00F4014F">
            <w:rPr>
              <w:rStyle w:val="Hyperlink"/>
            </w:rPr>
            <w:fldChar w:fldCharType="begin"/>
          </w:r>
          <w:r w:rsidR="00831054" w:rsidRPr="00F4014F">
            <w:rPr>
              <w:rStyle w:val="Hyperlink"/>
            </w:rPr>
            <w:instrText xml:space="preserve"> </w:instrText>
          </w:r>
          <w:r w:rsidR="00831054">
            <w:instrText>HYPERLINK \l "_Toc506462930"</w:instrText>
          </w:r>
          <w:r w:rsidR="00831054" w:rsidRPr="00F4014F">
            <w:rPr>
              <w:rStyle w:val="Hyperlink"/>
            </w:rPr>
            <w:instrText xml:space="preserve"> </w:instrText>
          </w:r>
          <w:r w:rsidR="00831054" w:rsidRPr="00F4014F">
            <w:rPr>
              <w:rStyle w:val="Hyperlink"/>
            </w:rPr>
          </w:r>
          <w:r w:rsidR="00831054" w:rsidRPr="00F4014F">
            <w:rPr>
              <w:rStyle w:val="Hyperlink"/>
            </w:rPr>
            <w:fldChar w:fldCharType="separate"/>
          </w:r>
          <w:r w:rsidR="00831054" w:rsidRPr="00F4014F">
            <w:rPr>
              <w:rStyle w:val="Hyperlink"/>
            </w:rPr>
            <w:t>1</w:t>
          </w:r>
          <w:r w:rsidR="00831054">
            <w:rPr>
              <w:rFonts w:asciiTheme="minorHAnsi" w:hAnsiTheme="minorHAnsi" w:cstheme="minorBidi"/>
              <w:b w:val="0"/>
            </w:rPr>
            <w:tab/>
          </w:r>
          <w:r w:rsidR="00831054" w:rsidRPr="00F4014F">
            <w:rPr>
              <w:rStyle w:val="Hyperlink"/>
            </w:rPr>
            <w:t>Introduction/purpose</w:t>
          </w:r>
          <w:r w:rsidR="00831054">
            <w:rPr>
              <w:webHidden/>
            </w:rPr>
            <w:tab/>
          </w:r>
          <w:r w:rsidR="00831054">
            <w:rPr>
              <w:webHidden/>
            </w:rPr>
            <w:fldChar w:fldCharType="begin"/>
          </w:r>
          <w:r w:rsidR="00831054">
            <w:rPr>
              <w:webHidden/>
            </w:rPr>
            <w:instrText xml:space="preserve"> PAGEREF _Toc506462930 \h </w:instrText>
          </w:r>
          <w:r w:rsidR="00831054">
            <w:rPr>
              <w:webHidden/>
            </w:rPr>
          </w:r>
          <w:r w:rsidR="00831054">
            <w:rPr>
              <w:webHidden/>
            </w:rPr>
            <w:fldChar w:fldCharType="separate"/>
          </w:r>
          <w:r w:rsidR="002D357C">
            <w:rPr>
              <w:webHidden/>
            </w:rPr>
            <w:t>4</w:t>
          </w:r>
          <w:r w:rsidR="00831054">
            <w:rPr>
              <w:webHidden/>
            </w:rPr>
            <w:fldChar w:fldCharType="end"/>
          </w:r>
          <w:r w:rsidR="00831054" w:rsidRPr="00F4014F">
            <w:rPr>
              <w:rStyle w:val="Hyperlink"/>
            </w:rPr>
            <w:fldChar w:fldCharType="end"/>
          </w:r>
        </w:p>
        <w:p w14:paraId="6A21633A" w14:textId="77777777" w:rsidR="00831054" w:rsidRDefault="00831054">
          <w:pPr>
            <w:pStyle w:val="TOC1"/>
            <w:rPr>
              <w:rFonts w:asciiTheme="minorHAnsi" w:hAnsiTheme="minorHAnsi" w:cstheme="minorBidi"/>
              <w:b w:val="0"/>
            </w:rPr>
          </w:pPr>
          <w:hyperlink w:anchor="_Toc506462931" w:history="1">
            <w:r w:rsidRPr="00F4014F">
              <w:rPr>
                <w:rStyle w:val="Hyperlink"/>
              </w:rPr>
              <w:t>2</w:t>
            </w:r>
            <w:r>
              <w:rPr>
                <w:rFonts w:asciiTheme="minorHAnsi" w:hAnsiTheme="minorHAnsi" w:cstheme="minorBidi"/>
                <w:b w:val="0"/>
              </w:rPr>
              <w:tab/>
            </w:r>
            <w:r w:rsidRPr="00F4014F">
              <w:rPr>
                <w:rStyle w:val="Hyperlink"/>
              </w:rPr>
              <w:t>Principles</w:t>
            </w:r>
            <w:r>
              <w:rPr>
                <w:webHidden/>
              </w:rPr>
              <w:tab/>
            </w:r>
            <w:r>
              <w:rPr>
                <w:webHidden/>
              </w:rPr>
              <w:fldChar w:fldCharType="begin"/>
            </w:r>
            <w:r>
              <w:rPr>
                <w:webHidden/>
              </w:rPr>
              <w:instrText xml:space="preserve"> PAGEREF _Toc506462931 \h </w:instrText>
            </w:r>
            <w:r>
              <w:rPr>
                <w:webHidden/>
              </w:rPr>
            </w:r>
            <w:r>
              <w:rPr>
                <w:webHidden/>
              </w:rPr>
              <w:fldChar w:fldCharType="separate"/>
            </w:r>
            <w:r w:rsidR="002D357C">
              <w:rPr>
                <w:webHidden/>
              </w:rPr>
              <w:t>4</w:t>
            </w:r>
            <w:r>
              <w:rPr>
                <w:webHidden/>
              </w:rPr>
              <w:fldChar w:fldCharType="end"/>
            </w:r>
          </w:hyperlink>
        </w:p>
        <w:p w14:paraId="1DE88BF4" w14:textId="77777777" w:rsidR="00831054" w:rsidRDefault="00831054">
          <w:pPr>
            <w:pStyle w:val="TOC1"/>
            <w:rPr>
              <w:rFonts w:asciiTheme="minorHAnsi" w:hAnsiTheme="minorHAnsi" w:cstheme="minorBidi"/>
              <w:b w:val="0"/>
            </w:rPr>
          </w:pPr>
          <w:hyperlink w:anchor="_Toc506462932" w:history="1">
            <w:r w:rsidRPr="00F4014F">
              <w:rPr>
                <w:rStyle w:val="Hyperlink"/>
              </w:rPr>
              <w:t>3</w:t>
            </w:r>
            <w:r>
              <w:rPr>
                <w:rFonts w:asciiTheme="minorHAnsi" w:hAnsiTheme="minorHAnsi" w:cstheme="minorBidi"/>
                <w:b w:val="0"/>
              </w:rPr>
              <w:tab/>
            </w:r>
            <w:r w:rsidRPr="00F4014F">
              <w:rPr>
                <w:rStyle w:val="Hyperlink"/>
              </w:rPr>
              <w:t>Authority</w:t>
            </w:r>
            <w:r>
              <w:rPr>
                <w:webHidden/>
              </w:rPr>
              <w:tab/>
            </w:r>
            <w:r>
              <w:rPr>
                <w:webHidden/>
              </w:rPr>
              <w:fldChar w:fldCharType="begin"/>
            </w:r>
            <w:r>
              <w:rPr>
                <w:webHidden/>
              </w:rPr>
              <w:instrText xml:space="preserve"> PAGEREF _Toc506462932 \h </w:instrText>
            </w:r>
            <w:r>
              <w:rPr>
                <w:webHidden/>
              </w:rPr>
            </w:r>
            <w:r>
              <w:rPr>
                <w:webHidden/>
              </w:rPr>
              <w:fldChar w:fldCharType="separate"/>
            </w:r>
            <w:r w:rsidR="002D357C">
              <w:rPr>
                <w:webHidden/>
              </w:rPr>
              <w:t>4</w:t>
            </w:r>
            <w:r>
              <w:rPr>
                <w:webHidden/>
              </w:rPr>
              <w:fldChar w:fldCharType="end"/>
            </w:r>
          </w:hyperlink>
        </w:p>
        <w:p w14:paraId="7D4DC7FC" w14:textId="77777777" w:rsidR="00831054" w:rsidRDefault="00831054">
          <w:pPr>
            <w:pStyle w:val="TOC1"/>
            <w:rPr>
              <w:rFonts w:asciiTheme="minorHAnsi" w:hAnsiTheme="minorHAnsi" w:cstheme="minorBidi"/>
              <w:b w:val="0"/>
            </w:rPr>
          </w:pPr>
          <w:hyperlink w:anchor="_Toc506462933" w:history="1">
            <w:r w:rsidRPr="00F4014F">
              <w:rPr>
                <w:rStyle w:val="Hyperlink"/>
              </w:rPr>
              <w:t>4</w:t>
            </w:r>
            <w:r>
              <w:rPr>
                <w:rFonts w:asciiTheme="minorHAnsi" w:hAnsiTheme="minorHAnsi" w:cstheme="minorBidi"/>
                <w:b w:val="0"/>
              </w:rPr>
              <w:tab/>
            </w:r>
            <w:r w:rsidRPr="00F4014F">
              <w:rPr>
                <w:rStyle w:val="Hyperlink"/>
              </w:rPr>
              <w:t>Scope</w:t>
            </w:r>
            <w:r>
              <w:rPr>
                <w:webHidden/>
              </w:rPr>
              <w:tab/>
            </w:r>
            <w:r>
              <w:rPr>
                <w:webHidden/>
              </w:rPr>
              <w:fldChar w:fldCharType="begin"/>
            </w:r>
            <w:r>
              <w:rPr>
                <w:webHidden/>
              </w:rPr>
              <w:instrText xml:space="preserve"> PAGEREF _Toc506462933 \h </w:instrText>
            </w:r>
            <w:r>
              <w:rPr>
                <w:webHidden/>
              </w:rPr>
            </w:r>
            <w:r>
              <w:rPr>
                <w:webHidden/>
              </w:rPr>
              <w:fldChar w:fldCharType="separate"/>
            </w:r>
            <w:r w:rsidR="002D357C">
              <w:rPr>
                <w:webHidden/>
              </w:rPr>
              <w:t>4</w:t>
            </w:r>
            <w:r>
              <w:rPr>
                <w:webHidden/>
              </w:rPr>
              <w:fldChar w:fldCharType="end"/>
            </w:r>
          </w:hyperlink>
        </w:p>
        <w:p w14:paraId="2BFDFF2A" w14:textId="77777777" w:rsidR="00831054" w:rsidRDefault="00831054">
          <w:pPr>
            <w:pStyle w:val="TOC1"/>
            <w:rPr>
              <w:rFonts w:asciiTheme="minorHAnsi" w:hAnsiTheme="minorHAnsi" w:cstheme="minorBidi"/>
              <w:b w:val="0"/>
            </w:rPr>
          </w:pPr>
          <w:hyperlink w:anchor="_Toc506462934" w:history="1">
            <w:r w:rsidRPr="00F4014F">
              <w:rPr>
                <w:rStyle w:val="Hyperlink"/>
              </w:rPr>
              <w:t>5</w:t>
            </w:r>
            <w:r>
              <w:rPr>
                <w:rFonts w:asciiTheme="minorHAnsi" w:hAnsiTheme="minorHAnsi" w:cstheme="minorBidi"/>
                <w:b w:val="0"/>
              </w:rPr>
              <w:tab/>
            </w:r>
            <w:r w:rsidRPr="00F4014F">
              <w:rPr>
                <w:rStyle w:val="Hyperlink"/>
              </w:rPr>
              <w:t>Responsibilities</w:t>
            </w:r>
            <w:r>
              <w:rPr>
                <w:webHidden/>
              </w:rPr>
              <w:tab/>
            </w:r>
            <w:r>
              <w:rPr>
                <w:webHidden/>
              </w:rPr>
              <w:fldChar w:fldCharType="begin"/>
            </w:r>
            <w:r>
              <w:rPr>
                <w:webHidden/>
              </w:rPr>
              <w:instrText xml:space="preserve"> PAGEREF _Toc506462934 \h </w:instrText>
            </w:r>
            <w:r>
              <w:rPr>
                <w:webHidden/>
              </w:rPr>
            </w:r>
            <w:r>
              <w:rPr>
                <w:webHidden/>
              </w:rPr>
              <w:fldChar w:fldCharType="separate"/>
            </w:r>
            <w:r w:rsidR="002D357C">
              <w:rPr>
                <w:webHidden/>
              </w:rPr>
              <w:t>5</w:t>
            </w:r>
            <w:r>
              <w:rPr>
                <w:webHidden/>
              </w:rPr>
              <w:fldChar w:fldCharType="end"/>
            </w:r>
          </w:hyperlink>
        </w:p>
        <w:p w14:paraId="4A32C865" w14:textId="77777777" w:rsidR="00831054" w:rsidRDefault="00831054">
          <w:pPr>
            <w:pStyle w:val="TOC1"/>
            <w:rPr>
              <w:rFonts w:asciiTheme="minorHAnsi" w:hAnsiTheme="minorHAnsi" w:cstheme="minorBidi"/>
              <w:b w:val="0"/>
            </w:rPr>
          </w:pPr>
          <w:hyperlink w:anchor="_Toc506462935" w:history="1">
            <w:r w:rsidRPr="00F4014F">
              <w:rPr>
                <w:rStyle w:val="Hyperlink"/>
              </w:rPr>
              <w:t>6</w:t>
            </w:r>
            <w:r>
              <w:rPr>
                <w:rFonts w:asciiTheme="minorHAnsi" w:hAnsiTheme="minorHAnsi" w:cstheme="minorBidi"/>
                <w:b w:val="0"/>
              </w:rPr>
              <w:tab/>
            </w:r>
            <w:r w:rsidRPr="00F4014F">
              <w:rPr>
                <w:rStyle w:val="Hyperlink"/>
              </w:rPr>
              <w:t>Standards</w:t>
            </w:r>
            <w:r>
              <w:rPr>
                <w:webHidden/>
              </w:rPr>
              <w:tab/>
            </w:r>
            <w:r>
              <w:rPr>
                <w:webHidden/>
              </w:rPr>
              <w:fldChar w:fldCharType="begin"/>
            </w:r>
            <w:r>
              <w:rPr>
                <w:webHidden/>
              </w:rPr>
              <w:instrText xml:space="preserve"> PAGEREF _Toc506462935 \h </w:instrText>
            </w:r>
            <w:r>
              <w:rPr>
                <w:webHidden/>
              </w:rPr>
            </w:r>
            <w:r>
              <w:rPr>
                <w:webHidden/>
              </w:rPr>
              <w:fldChar w:fldCharType="separate"/>
            </w:r>
            <w:r w:rsidR="002D357C">
              <w:rPr>
                <w:webHidden/>
              </w:rPr>
              <w:t>5</w:t>
            </w:r>
            <w:r>
              <w:rPr>
                <w:webHidden/>
              </w:rPr>
              <w:fldChar w:fldCharType="end"/>
            </w:r>
          </w:hyperlink>
        </w:p>
        <w:p w14:paraId="193EB83D" w14:textId="77777777" w:rsidR="00831054" w:rsidRDefault="00831054">
          <w:pPr>
            <w:pStyle w:val="TOC2"/>
            <w:rPr>
              <w:rFonts w:asciiTheme="minorHAnsi" w:hAnsiTheme="minorHAnsi" w:cstheme="minorBidi"/>
            </w:rPr>
          </w:pPr>
          <w:hyperlink w:anchor="_Toc506462936" w:history="1">
            <w:r w:rsidRPr="00F4014F">
              <w:rPr>
                <w:rStyle w:val="Hyperlink"/>
              </w:rPr>
              <w:t>6.1</w:t>
            </w:r>
            <w:r>
              <w:rPr>
                <w:rFonts w:asciiTheme="minorHAnsi" w:hAnsiTheme="minorHAnsi" w:cstheme="minorBidi"/>
              </w:rPr>
              <w:tab/>
            </w:r>
            <w:r w:rsidRPr="00F4014F">
              <w:rPr>
                <w:rStyle w:val="Hyperlink"/>
              </w:rPr>
              <w:t>Governance</w:t>
            </w:r>
            <w:r>
              <w:rPr>
                <w:webHidden/>
              </w:rPr>
              <w:tab/>
            </w:r>
            <w:r>
              <w:rPr>
                <w:webHidden/>
              </w:rPr>
              <w:fldChar w:fldCharType="begin"/>
            </w:r>
            <w:r>
              <w:rPr>
                <w:webHidden/>
              </w:rPr>
              <w:instrText xml:space="preserve"> PAGEREF _Toc506462936 \h </w:instrText>
            </w:r>
            <w:r>
              <w:rPr>
                <w:webHidden/>
              </w:rPr>
            </w:r>
            <w:r>
              <w:rPr>
                <w:webHidden/>
              </w:rPr>
              <w:fldChar w:fldCharType="separate"/>
            </w:r>
            <w:r w:rsidR="002D357C">
              <w:rPr>
                <w:webHidden/>
              </w:rPr>
              <w:t>5</w:t>
            </w:r>
            <w:r>
              <w:rPr>
                <w:webHidden/>
              </w:rPr>
              <w:fldChar w:fldCharType="end"/>
            </w:r>
          </w:hyperlink>
        </w:p>
        <w:p w14:paraId="162EC511" w14:textId="77777777" w:rsidR="00831054" w:rsidRDefault="00831054">
          <w:pPr>
            <w:pStyle w:val="TOC3"/>
            <w:rPr>
              <w:rFonts w:asciiTheme="minorHAnsi" w:hAnsiTheme="minorHAnsi" w:cstheme="minorBidi"/>
            </w:rPr>
          </w:pPr>
          <w:hyperlink w:anchor="_Toc506462937" w:history="1">
            <w:r w:rsidRPr="00F4014F">
              <w:rPr>
                <w:rStyle w:val="Hyperlink"/>
              </w:rPr>
              <w:t>6.1.1</w:t>
            </w:r>
            <w:r>
              <w:rPr>
                <w:rFonts w:asciiTheme="minorHAnsi" w:hAnsiTheme="minorHAnsi" w:cstheme="minorBidi"/>
              </w:rPr>
              <w:tab/>
            </w:r>
            <w:r w:rsidRPr="00F4014F">
              <w:rPr>
                <w:rStyle w:val="Hyperlink"/>
              </w:rPr>
              <w:t>Governance framework</w:t>
            </w:r>
            <w:r>
              <w:rPr>
                <w:webHidden/>
              </w:rPr>
              <w:tab/>
            </w:r>
            <w:r>
              <w:rPr>
                <w:webHidden/>
              </w:rPr>
              <w:fldChar w:fldCharType="begin"/>
            </w:r>
            <w:r>
              <w:rPr>
                <w:webHidden/>
              </w:rPr>
              <w:instrText xml:space="preserve"> PAGEREF _Toc506462937 \h </w:instrText>
            </w:r>
            <w:r>
              <w:rPr>
                <w:webHidden/>
              </w:rPr>
            </w:r>
            <w:r>
              <w:rPr>
                <w:webHidden/>
              </w:rPr>
              <w:fldChar w:fldCharType="separate"/>
            </w:r>
            <w:r w:rsidR="002D357C">
              <w:rPr>
                <w:webHidden/>
              </w:rPr>
              <w:t>5</w:t>
            </w:r>
            <w:r>
              <w:rPr>
                <w:webHidden/>
              </w:rPr>
              <w:fldChar w:fldCharType="end"/>
            </w:r>
          </w:hyperlink>
        </w:p>
        <w:p w14:paraId="1B4AECE7" w14:textId="77777777" w:rsidR="00831054" w:rsidRDefault="00831054">
          <w:pPr>
            <w:pStyle w:val="TOC3"/>
            <w:rPr>
              <w:rFonts w:asciiTheme="minorHAnsi" w:hAnsiTheme="minorHAnsi" w:cstheme="minorBidi"/>
            </w:rPr>
          </w:pPr>
          <w:hyperlink w:anchor="_Toc506462938" w:history="1">
            <w:r w:rsidRPr="00F4014F">
              <w:rPr>
                <w:rStyle w:val="Hyperlink"/>
              </w:rPr>
              <w:t>6.1.2</w:t>
            </w:r>
            <w:r>
              <w:rPr>
                <w:rFonts w:asciiTheme="minorHAnsi" w:hAnsiTheme="minorHAnsi" w:cstheme="minorBidi"/>
              </w:rPr>
              <w:tab/>
            </w:r>
            <w:r w:rsidRPr="00F4014F">
              <w:rPr>
                <w:rStyle w:val="Hyperlink"/>
              </w:rPr>
              <w:t>Policies and procedures</w:t>
            </w:r>
            <w:r>
              <w:rPr>
                <w:webHidden/>
              </w:rPr>
              <w:tab/>
            </w:r>
            <w:r>
              <w:rPr>
                <w:webHidden/>
              </w:rPr>
              <w:fldChar w:fldCharType="begin"/>
            </w:r>
            <w:r>
              <w:rPr>
                <w:webHidden/>
              </w:rPr>
              <w:instrText xml:space="preserve"> PAGEREF _Toc506462938 \h </w:instrText>
            </w:r>
            <w:r>
              <w:rPr>
                <w:webHidden/>
              </w:rPr>
            </w:r>
            <w:r>
              <w:rPr>
                <w:webHidden/>
              </w:rPr>
              <w:fldChar w:fldCharType="separate"/>
            </w:r>
            <w:r w:rsidR="002D357C">
              <w:rPr>
                <w:webHidden/>
              </w:rPr>
              <w:t>6</w:t>
            </w:r>
            <w:r>
              <w:rPr>
                <w:webHidden/>
              </w:rPr>
              <w:fldChar w:fldCharType="end"/>
            </w:r>
          </w:hyperlink>
        </w:p>
        <w:p w14:paraId="246F1796" w14:textId="77777777" w:rsidR="00831054" w:rsidRDefault="00831054">
          <w:pPr>
            <w:pStyle w:val="TOC3"/>
            <w:rPr>
              <w:rFonts w:asciiTheme="minorHAnsi" w:hAnsiTheme="minorHAnsi" w:cstheme="minorBidi"/>
            </w:rPr>
          </w:pPr>
          <w:hyperlink w:anchor="_Toc506462939" w:history="1">
            <w:r w:rsidRPr="00F4014F">
              <w:rPr>
                <w:rStyle w:val="Hyperlink"/>
              </w:rPr>
              <w:t>6.1.3</w:t>
            </w:r>
            <w:r>
              <w:rPr>
                <w:rFonts w:asciiTheme="minorHAnsi" w:hAnsiTheme="minorHAnsi" w:cstheme="minorBidi"/>
              </w:rPr>
              <w:tab/>
            </w:r>
            <w:r w:rsidRPr="00F4014F">
              <w:rPr>
                <w:rStyle w:val="Hyperlink"/>
              </w:rPr>
              <w:t>Records management systems (RMS)</w:t>
            </w:r>
            <w:r>
              <w:rPr>
                <w:webHidden/>
              </w:rPr>
              <w:tab/>
            </w:r>
            <w:r>
              <w:rPr>
                <w:webHidden/>
              </w:rPr>
              <w:fldChar w:fldCharType="begin"/>
            </w:r>
            <w:r>
              <w:rPr>
                <w:webHidden/>
              </w:rPr>
              <w:instrText xml:space="preserve"> PAGEREF _Toc506462939 \h </w:instrText>
            </w:r>
            <w:r>
              <w:rPr>
                <w:webHidden/>
              </w:rPr>
            </w:r>
            <w:r>
              <w:rPr>
                <w:webHidden/>
              </w:rPr>
              <w:fldChar w:fldCharType="separate"/>
            </w:r>
            <w:r w:rsidR="002D357C">
              <w:rPr>
                <w:webHidden/>
              </w:rPr>
              <w:t>6</w:t>
            </w:r>
            <w:r>
              <w:rPr>
                <w:webHidden/>
              </w:rPr>
              <w:fldChar w:fldCharType="end"/>
            </w:r>
          </w:hyperlink>
        </w:p>
        <w:p w14:paraId="54E89BC6" w14:textId="77777777" w:rsidR="00831054" w:rsidRDefault="00831054">
          <w:pPr>
            <w:pStyle w:val="TOC2"/>
            <w:rPr>
              <w:rFonts w:asciiTheme="minorHAnsi" w:hAnsiTheme="minorHAnsi" w:cstheme="minorBidi"/>
            </w:rPr>
          </w:pPr>
          <w:hyperlink w:anchor="_Toc506462940" w:history="1">
            <w:r w:rsidRPr="00F4014F">
              <w:rPr>
                <w:rStyle w:val="Hyperlink"/>
              </w:rPr>
              <w:t>6.2</w:t>
            </w:r>
            <w:r>
              <w:rPr>
                <w:rFonts w:asciiTheme="minorHAnsi" w:hAnsiTheme="minorHAnsi" w:cstheme="minorBidi"/>
              </w:rPr>
              <w:tab/>
            </w:r>
            <w:r w:rsidRPr="00F4014F">
              <w:rPr>
                <w:rStyle w:val="Hyperlink"/>
              </w:rPr>
              <w:t>Capture</w:t>
            </w:r>
            <w:r>
              <w:rPr>
                <w:webHidden/>
              </w:rPr>
              <w:tab/>
            </w:r>
            <w:r>
              <w:rPr>
                <w:webHidden/>
              </w:rPr>
              <w:fldChar w:fldCharType="begin"/>
            </w:r>
            <w:r>
              <w:rPr>
                <w:webHidden/>
              </w:rPr>
              <w:instrText xml:space="preserve"> PAGEREF _Toc506462940 \h </w:instrText>
            </w:r>
            <w:r>
              <w:rPr>
                <w:webHidden/>
              </w:rPr>
            </w:r>
            <w:r>
              <w:rPr>
                <w:webHidden/>
              </w:rPr>
              <w:fldChar w:fldCharType="separate"/>
            </w:r>
            <w:r w:rsidR="002D357C">
              <w:rPr>
                <w:webHidden/>
              </w:rPr>
              <w:t>8</w:t>
            </w:r>
            <w:r>
              <w:rPr>
                <w:webHidden/>
              </w:rPr>
              <w:fldChar w:fldCharType="end"/>
            </w:r>
          </w:hyperlink>
        </w:p>
        <w:p w14:paraId="7AACE34D" w14:textId="77777777" w:rsidR="00831054" w:rsidRDefault="00831054">
          <w:pPr>
            <w:pStyle w:val="TOC2"/>
            <w:rPr>
              <w:rFonts w:asciiTheme="minorHAnsi" w:hAnsiTheme="minorHAnsi" w:cstheme="minorBidi"/>
            </w:rPr>
          </w:pPr>
          <w:hyperlink w:anchor="_Toc506462941" w:history="1">
            <w:r w:rsidRPr="00F4014F">
              <w:rPr>
                <w:rStyle w:val="Hyperlink"/>
              </w:rPr>
              <w:t>6.3</w:t>
            </w:r>
            <w:r>
              <w:rPr>
                <w:rFonts w:asciiTheme="minorHAnsi" w:hAnsiTheme="minorHAnsi" w:cstheme="minorBidi"/>
              </w:rPr>
              <w:tab/>
            </w:r>
            <w:r w:rsidRPr="00F4014F">
              <w:rPr>
                <w:rStyle w:val="Hyperlink"/>
              </w:rPr>
              <w:t>Discovery</w:t>
            </w:r>
            <w:r>
              <w:rPr>
                <w:webHidden/>
              </w:rPr>
              <w:tab/>
            </w:r>
            <w:r>
              <w:rPr>
                <w:webHidden/>
              </w:rPr>
              <w:fldChar w:fldCharType="begin"/>
            </w:r>
            <w:r>
              <w:rPr>
                <w:webHidden/>
              </w:rPr>
              <w:instrText xml:space="preserve"> PAGEREF _Toc506462941 \h </w:instrText>
            </w:r>
            <w:r>
              <w:rPr>
                <w:webHidden/>
              </w:rPr>
            </w:r>
            <w:r>
              <w:rPr>
                <w:webHidden/>
              </w:rPr>
              <w:fldChar w:fldCharType="separate"/>
            </w:r>
            <w:r w:rsidR="002D357C">
              <w:rPr>
                <w:webHidden/>
              </w:rPr>
              <w:t>9</w:t>
            </w:r>
            <w:r>
              <w:rPr>
                <w:webHidden/>
              </w:rPr>
              <w:fldChar w:fldCharType="end"/>
            </w:r>
          </w:hyperlink>
        </w:p>
        <w:p w14:paraId="55990226" w14:textId="77777777" w:rsidR="00831054" w:rsidRDefault="00831054">
          <w:pPr>
            <w:pStyle w:val="TOC3"/>
            <w:rPr>
              <w:rFonts w:asciiTheme="minorHAnsi" w:hAnsiTheme="minorHAnsi" w:cstheme="minorBidi"/>
            </w:rPr>
          </w:pPr>
          <w:hyperlink w:anchor="_Toc506462942" w:history="1">
            <w:r w:rsidRPr="00F4014F">
              <w:rPr>
                <w:rStyle w:val="Hyperlink"/>
              </w:rPr>
              <w:t>6.3.1</w:t>
            </w:r>
            <w:r>
              <w:rPr>
                <w:rFonts w:asciiTheme="minorHAnsi" w:hAnsiTheme="minorHAnsi" w:cstheme="minorBidi"/>
              </w:rPr>
              <w:tab/>
            </w:r>
            <w:r w:rsidRPr="00F4014F">
              <w:rPr>
                <w:rStyle w:val="Hyperlink"/>
              </w:rPr>
              <w:t>Records must be accessible</w:t>
            </w:r>
            <w:r>
              <w:rPr>
                <w:webHidden/>
              </w:rPr>
              <w:tab/>
            </w:r>
            <w:r>
              <w:rPr>
                <w:webHidden/>
              </w:rPr>
              <w:fldChar w:fldCharType="begin"/>
            </w:r>
            <w:r>
              <w:rPr>
                <w:webHidden/>
              </w:rPr>
              <w:instrText xml:space="preserve"> PAGEREF _Toc506462942 \h </w:instrText>
            </w:r>
            <w:r>
              <w:rPr>
                <w:webHidden/>
              </w:rPr>
            </w:r>
            <w:r>
              <w:rPr>
                <w:webHidden/>
              </w:rPr>
              <w:fldChar w:fldCharType="separate"/>
            </w:r>
            <w:r w:rsidR="002D357C">
              <w:rPr>
                <w:webHidden/>
              </w:rPr>
              <w:t>9</w:t>
            </w:r>
            <w:r>
              <w:rPr>
                <w:webHidden/>
              </w:rPr>
              <w:fldChar w:fldCharType="end"/>
            </w:r>
          </w:hyperlink>
        </w:p>
        <w:p w14:paraId="69F44B56" w14:textId="77777777" w:rsidR="00831054" w:rsidRDefault="00831054">
          <w:pPr>
            <w:pStyle w:val="TOC3"/>
            <w:rPr>
              <w:rFonts w:asciiTheme="minorHAnsi" w:hAnsiTheme="minorHAnsi" w:cstheme="minorBidi"/>
            </w:rPr>
          </w:pPr>
          <w:hyperlink w:anchor="_Toc506462943" w:history="1">
            <w:r w:rsidRPr="00F4014F">
              <w:rPr>
                <w:rStyle w:val="Hyperlink"/>
              </w:rPr>
              <w:t>6.3.2</w:t>
            </w:r>
            <w:r>
              <w:rPr>
                <w:rFonts w:asciiTheme="minorHAnsi" w:hAnsiTheme="minorHAnsi" w:cstheme="minorBidi"/>
              </w:rPr>
              <w:tab/>
            </w:r>
            <w:r w:rsidRPr="00F4014F">
              <w:rPr>
                <w:rStyle w:val="Hyperlink"/>
              </w:rPr>
              <w:t>Records must be usable</w:t>
            </w:r>
            <w:r>
              <w:rPr>
                <w:webHidden/>
              </w:rPr>
              <w:tab/>
            </w:r>
            <w:r>
              <w:rPr>
                <w:webHidden/>
              </w:rPr>
              <w:fldChar w:fldCharType="begin"/>
            </w:r>
            <w:r>
              <w:rPr>
                <w:webHidden/>
              </w:rPr>
              <w:instrText xml:space="preserve"> PAGEREF _Toc506462943 \h </w:instrText>
            </w:r>
            <w:r>
              <w:rPr>
                <w:webHidden/>
              </w:rPr>
            </w:r>
            <w:r>
              <w:rPr>
                <w:webHidden/>
              </w:rPr>
              <w:fldChar w:fldCharType="separate"/>
            </w:r>
            <w:r w:rsidR="002D357C">
              <w:rPr>
                <w:webHidden/>
              </w:rPr>
              <w:t>9</w:t>
            </w:r>
            <w:r>
              <w:rPr>
                <w:webHidden/>
              </w:rPr>
              <w:fldChar w:fldCharType="end"/>
            </w:r>
          </w:hyperlink>
        </w:p>
        <w:p w14:paraId="5BFB12C8" w14:textId="77777777" w:rsidR="00831054" w:rsidRDefault="00831054">
          <w:pPr>
            <w:pStyle w:val="TOC2"/>
            <w:rPr>
              <w:rFonts w:asciiTheme="minorHAnsi" w:hAnsiTheme="minorHAnsi" w:cstheme="minorBidi"/>
            </w:rPr>
          </w:pPr>
          <w:hyperlink w:anchor="_Toc506462944" w:history="1">
            <w:r w:rsidRPr="00F4014F">
              <w:rPr>
                <w:rStyle w:val="Hyperlink"/>
              </w:rPr>
              <w:t>6.4</w:t>
            </w:r>
            <w:r>
              <w:rPr>
                <w:rFonts w:asciiTheme="minorHAnsi" w:hAnsiTheme="minorHAnsi" w:cstheme="minorBidi"/>
              </w:rPr>
              <w:tab/>
            </w:r>
            <w:r w:rsidRPr="00F4014F">
              <w:rPr>
                <w:rStyle w:val="Hyperlink"/>
              </w:rPr>
              <w:t>Security</w:t>
            </w:r>
            <w:r>
              <w:rPr>
                <w:webHidden/>
              </w:rPr>
              <w:tab/>
            </w:r>
            <w:r>
              <w:rPr>
                <w:webHidden/>
              </w:rPr>
              <w:fldChar w:fldCharType="begin"/>
            </w:r>
            <w:r>
              <w:rPr>
                <w:webHidden/>
              </w:rPr>
              <w:instrText xml:space="preserve"> PAGEREF _Toc506462944 \h </w:instrText>
            </w:r>
            <w:r>
              <w:rPr>
                <w:webHidden/>
              </w:rPr>
            </w:r>
            <w:r>
              <w:rPr>
                <w:webHidden/>
              </w:rPr>
              <w:fldChar w:fldCharType="separate"/>
            </w:r>
            <w:r w:rsidR="002D357C">
              <w:rPr>
                <w:webHidden/>
              </w:rPr>
              <w:t>10</w:t>
            </w:r>
            <w:r>
              <w:rPr>
                <w:webHidden/>
              </w:rPr>
              <w:fldChar w:fldCharType="end"/>
            </w:r>
          </w:hyperlink>
        </w:p>
        <w:p w14:paraId="4A0C7C1D" w14:textId="77777777" w:rsidR="00831054" w:rsidRDefault="00831054">
          <w:pPr>
            <w:pStyle w:val="TOC3"/>
            <w:rPr>
              <w:rFonts w:asciiTheme="minorHAnsi" w:hAnsiTheme="minorHAnsi" w:cstheme="minorBidi"/>
            </w:rPr>
          </w:pPr>
          <w:hyperlink w:anchor="_Toc506462945" w:history="1">
            <w:r w:rsidRPr="00F4014F">
              <w:rPr>
                <w:rStyle w:val="Hyperlink"/>
              </w:rPr>
              <w:t>6.4.1</w:t>
            </w:r>
            <w:r>
              <w:rPr>
                <w:rFonts w:asciiTheme="minorHAnsi" w:hAnsiTheme="minorHAnsi" w:cstheme="minorBidi"/>
              </w:rPr>
              <w:tab/>
            </w:r>
            <w:r w:rsidRPr="00F4014F">
              <w:rPr>
                <w:rStyle w:val="Hyperlink"/>
              </w:rPr>
              <w:t>Secure access to records</w:t>
            </w:r>
            <w:r>
              <w:rPr>
                <w:webHidden/>
              </w:rPr>
              <w:tab/>
            </w:r>
            <w:r>
              <w:rPr>
                <w:webHidden/>
              </w:rPr>
              <w:fldChar w:fldCharType="begin"/>
            </w:r>
            <w:r>
              <w:rPr>
                <w:webHidden/>
              </w:rPr>
              <w:instrText xml:space="preserve"> PAGEREF _Toc506462945 \h </w:instrText>
            </w:r>
            <w:r>
              <w:rPr>
                <w:webHidden/>
              </w:rPr>
            </w:r>
            <w:r>
              <w:rPr>
                <w:webHidden/>
              </w:rPr>
              <w:fldChar w:fldCharType="separate"/>
            </w:r>
            <w:r w:rsidR="002D357C">
              <w:rPr>
                <w:webHidden/>
              </w:rPr>
              <w:t>10</w:t>
            </w:r>
            <w:r>
              <w:rPr>
                <w:webHidden/>
              </w:rPr>
              <w:fldChar w:fldCharType="end"/>
            </w:r>
          </w:hyperlink>
        </w:p>
        <w:p w14:paraId="5C024F3B" w14:textId="77777777" w:rsidR="00831054" w:rsidRDefault="00831054">
          <w:pPr>
            <w:pStyle w:val="TOC3"/>
            <w:rPr>
              <w:rFonts w:asciiTheme="minorHAnsi" w:hAnsiTheme="minorHAnsi" w:cstheme="minorBidi"/>
            </w:rPr>
          </w:pPr>
          <w:hyperlink w:anchor="_Toc506462946" w:history="1">
            <w:r w:rsidRPr="00F4014F">
              <w:rPr>
                <w:rStyle w:val="Hyperlink"/>
              </w:rPr>
              <w:t>6.4.2</w:t>
            </w:r>
            <w:r>
              <w:rPr>
                <w:rFonts w:asciiTheme="minorHAnsi" w:hAnsiTheme="minorHAnsi" w:cstheme="minorBidi"/>
              </w:rPr>
              <w:tab/>
            </w:r>
            <w:r w:rsidRPr="00F4014F">
              <w:rPr>
                <w:rStyle w:val="Hyperlink"/>
              </w:rPr>
              <w:t>Protective markings</w:t>
            </w:r>
            <w:r>
              <w:rPr>
                <w:webHidden/>
              </w:rPr>
              <w:tab/>
            </w:r>
            <w:r>
              <w:rPr>
                <w:webHidden/>
              </w:rPr>
              <w:fldChar w:fldCharType="begin"/>
            </w:r>
            <w:r>
              <w:rPr>
                <w:webHidden/>
              </w:rPr>
              <w:instrText xml:space="preserve"> PAGEREF _Toc506462946 \h </w:instrText>
            </w:r>
            <w:r>
              <w:rPr>
                <w:webHidden/>
              </w:rPr>
            </w:r>
            <w:r>
              <w:rPr>
                <w:webHidden/>
              </w:rPr>
              <w:fldChar w:fldCharType="separate"/>
            </w:r>
            <w:r w:rsidR="002D357C">
              <w:rPr>
                <w:webHidden/>
              </w:rPr>
              <w:t>11</w:t>
            </w:r>
            <w:r>
              <w:rPr>
                <w:webHidden/>
              </w:rPr>
              <w:fldChar w:fldCharType="end"/>
            </w:r>
          </w:hyperlink>
        </w:p>
        <w:p w14:paraId="5FA67D72" w14:textId="77777777" w:rsidR="00831054" w:rsidRDefault="00831054">
          <w:pPr>
            <w:pStyle w:val="TOC3"/>
            <w:rPr>
              <w:rFonts w:asciiTheme="minorHAnsi" w:hAnsiTheme="minorHAnsi" w:cstheme="minorBidi"/>
            </w:rPr>
          </w:pPr>
          <w:hyperlink w:anchor="_Toc506462947" w:history="1">
            <w:r w:rsidRPr="00F4014F">
              <w:rPr>
                <w:rStyle w:val="Hyperlink"/>
              </w:rPr>
              <w:t>6.4.3</w:t>
            </w:r>
            <w:r>
              <w:rPr>
                <w:rFonts w:asciiTheme="minorHAnsi" w:hAnsiTheme="minorHAnsi" w:cstheme="minorBidi"/>
              </w:rPr>
              <w:tab/>
            </w:r>
            <w:r w:rsidRPr="00F4014F">
              <w:rPr>
                <w:rStyle w:val="Hyperlink"/>
              </w:rPr>
              <w:t>NTG PSO: Security classification system</w:t>
            </w:r>
            <w:r>
              <w:rPr>
                <w:webHidden/>
              </w:rPr>
              <w:tab/>
            </w:r>
            <w:r>
              <w:rPr>
                <w:webHidden/>
              </w:rPr>
              <w:fldChar w:fldCharType="begin"/>
            </w:r>
            <w:r>
              <w:rPr>
                <w:webHidden/>
              </w:rPr>
              <w:instrText xml:space="preserve"> PAGEREF _Toc506462947 \h </w:instrText>
            </w:r>
            <w:r>
              <w:rPr>
                <w:webHidden/>
              </w:rPr>
            </w:r>
            <w:r>
              <w:rPr>
                <w:webHidden/>
              </w:rPr>
              <w:fldChar w:fldCharType="separate"/>
            </w:r>
            <w:r w:rsidR="002D357C">
              <w:rPr>
                <w:webHidden/>
              </w:rPr>
              <w:t>11</w:t>
            </w:r>
            <w:r>
              <w:rPr>
                <w:webHidden/>
              </w:rPr>
              <w:fldChar w:fldCharType="end"/>
            </w:r>
          </w:hyperlink>
        </w:p>
        <w:p w14:paraId="112777A7" w14:textId="77777777" w:rsidR="00831054" w:rsidRDefault="00831054">
          <w:pPr>
            <w:pStyle w:val="TOC3"/>
            <w:rPr>
              <w:rFonts w:asciiTheme="minorHAnsi" w:hAnsiTheme="minorHAnsi" w:cstheme="minorBidi"/>
            </w:rPr>
          </w:pPr>
          <w:hyperlink w:anchor="_Toc506462948" w:history="1">
            <w:r w:rsidRPr="00F4014F">
              <w:rPr>
                <w:rStyle w:val="Hyperlink"/>
              </w:rPr>
              <w:t>6.4.4</w:t>
            </w:r>
            <w:r>
              <w:rPr>
                <w:rFonts w:asciiTheme="minorHAnsi" w:hAnsiTheme="minorHAnsi" w:cstheme="minorBidi"/>
              </w:rPr>
              <w:tab/>
            </w:r>
            <w:r w:rsidRPr="00F4014F">
              <w:rPr>
                <w:rStyle w:val="Hyperlink"/>
              </w:rPr>
              <w:t>NTG PSO: Dissemination limiting markers</w:t>
            </w:r>
            <w:r>
              <w:rPr>
                <w:webHidden/>
              </w:rPr>
              <w:tab/>
            </w:r>
            <w:r>
              <w:rPr>
                <w:webHidden/>
              </w:rPr>
              <w:fldChar w:fldCharType="begin"/>
            </w:r>
            <w:r>
              <w:rPr>
                <w:webHidden/>
              </w:rPr>
              <w:instrText xml:space="preserve"> PAGEREF _Toc506462948 \h </w:instrText>
            </w:r>
            <w:r>
              <w:rPr>
                <w:webHidden/>
              </w:rPr>
            </w:r>
            <w:r>
              <w:rPr>
                <w:webHidden/>
              </w:rPr>
              <w:fldChar w:fldCharType="separate"/>
            </w:r>
            <w:r w:rsidR="002D357C">
              <w:rPr>
                <w:webHidden/>
              </w:rPr>
              <w:t>12</w:t>
            </w:r>
            <w:r>
              <w:rPr>
                <w:webHidden/>
              </w:rPr>
              <w:fldChar w:fldCharType="end"/>
            </w:r>
          </w:hyperlink>
        </w:p>
        <w:p w14:paraId="3225F119" w14:textId="77777777" w:rsidR="00831054" w:rsidRDefault="00831054">
          <w:pPr>
            <w:pStyle w:val="TOC3"/>
            <w:rPr>
              <w:rFonts w:asciiTheme="minorHAnsi" w:hAnsiTheme="minorHAnsi" w:cstheme="minorBidi"/>
            </w:rPr>
          </w:pPr>
          <w:hyperlink w:anchor="_Toc506462949" w:history="1">
            <w:r w:rsidRPr="00F4014F">
              <w:rPr>
                <w:rStyle w:val="Hyperlink"/>
              </w:rPr>
              <w:t>6.4.5</w:t>
            </w:r>
            <w:r>
              <w:rPr>
                <w:rFonts w:asciiTheme="minorHAnsi" w:hAnsiTheme="minorHAnsi" w:cstheme="minorBidi"/>
              </w:rPr>
              <w:tab/>
            </w:r>
            <w:r w:rsidRPr="00F4014F">
              <w:rPr>
                <w:rStyle w:val="Hyperlink"/>
              </w:rPr>
              <w:t>NTG PSO: PSPF Caveats</w:t>
            </w:r>
            <w:r>
              <w:rPr>
                <w:webHidden/>
              </w:rPr>
              <w:tab/>
            </w:r>
            <w:r>
              <w:rPr>
                <w:webHidden/>
              </w:rPr>
              <w:fldChar w:fldCharType="begin"/>
            </w:r>
            <w:r>
              <w:rPr>
                <w:webHidden/>
              </w:rPr>
              <w:instrText xml:space="preserve"> PAGEREF _Toc506462949 \h </w:instrText>
            </w:r>
            <w:r>
              <w:rPr>
                <w:webHidden/>
              </w:rPr>
            </w:r>
            <w:r>
              <w:rPr>
                <w:webHidden/>
              </w:rPr>
              <w:fldChar w:fldCharType="separate"/>
            </w:r>
            <w:r w:rsidR="002D357C">
              <w:rPr>
                <w:webHidden/>
              </w:rPr>
              <w:t>13</w:t>
            </w:r>
            <w:r>
              <w:rPr>
                <w:webHidden/>
              </w:rPr>
              <w:fldChar w:fldCharType="end"/>
            </w:r>
          </w:hyperlink>
        </w:p>
        <w:p w14:paraId="749F2518" w14:textId="77777777" w:rsidR="00831054" w:rsidRDefault="00831054">
          <w:pPr>
            <w:pStyle w:val="TOC3"/>
            <w:rPr>
              <w:rFonts w:asciiTheme="minorHAnsi" w:hAnsiTheme="minorHAnsi" w:cstheme="minorBidi"/>
            </w:rPr>
          </w:pPr>
          <w:hyperlink w:anchor="_Toc506462950" w:history="1">
            <w:r w:rsidRPr="00F4014F">
              <w:rPr>
                <w:rStyle w:val="Hyperlink"/>
              </w:rPr>
              <w:t>6.4.6</w:t>
            </w:r>
            <w:r>
              <w:rPr>
                <w:rFonts w:asciiTheme="minorHAnsi" w:hAnsiTheme="minorHAnsi" w:cstheme="minorBidi"/>
              </w:rPr>
              <w:tab/>
            </w:r>
            <w:r w:rsidRPr="00F4014F">
              <w:rPr>
                <w:rStyle w:val="Hyperlink"/>
              </w:rPr>
              <w:t>Reclassification and review of protective markings</w:t>
            </w:r>
            <w:r>
              <w:rPr>
                <w:webHidden/>
              </w:rPr>
              <w:tab/>
            </w:r>
            <w:r>
              <w:rPr>
                <w:webHidden/>
              </w:rPr>
              <w:fldChar w:fldCharType="begin"/>
            </w:r>
            <w:r>
              <w:rPr>
                <w:webHidden/>
              </w:rPr>
              <w:instrText xml:space="preserve"> PAGEREF _Toc506462950 \h </w:instrText>
            </w:r>
            <w:r>
              <w:rPr>
                <w:webHidden/>
              </w:rPr>
            </w:r>
            <w:r>
              <w:rPr>
                <w:webHidden/>
              </w:rPr>
              <w:fldChar w:fldCharType="separate"/>
            </w:r>
            <w:r w:rsidR="002D357C">
              <w:rPr>
                <w:webHidden/>
              </w:rPr>
              <w:t>13</w:t>
            </w:r>
            <w:r>
              <w:rPr>
                <w:webHidden/>
              </w:rPr>
              <w:fldChar w:fldCharType="end"/>
            </w:r>
          </w:hyperlink>
        </w:p>
        <w:p w14:paraId="185F01D5" w14:textId="77777777" w:rsidR="00831054" w:rsidRDefault="00831054">
          <w:pPr>
            <w:pStyle w:val="TOC3"/>
            <w:rPr>
              <w:rFonts w:asciiTheme="minorHAnsi" w:hAnsiTheme="minorHAnsi" w:cstheme="minorBidi"/>
            </w:rPr>
          </w:pPr>
          <w:hyperlink w:anchor="_Toc506462951" w:history="1">
            <w:r w:rsidRPr="00F4014F">
              <w:rPr>
                <w:rStyle w:val="Hyperlink"/>
              </w:rPr>
              <w:t>6.4.7</w:t>
            </w:r>
            <w:r>
              <w:rPr>
                <w:rFonts w:asciiTheme="minorHAnsi" w:hAnsiTheme="minorHAnsi" w:cstheme="minorBidi"/>
              </w:rPr>
              <w:tab/>
            </w:r>
            <w:r w:rsidRPr="00F4014F">
              <w:rPr>
                <w:rStyle w:val="Hyperlink"/>
              </w:rPr>
              <w:t>Physical security</w:t>
            </w:r>
            <w:r>
              <w:rPr>
                <w:webHidden/>
              </w:rPr>
              <w:tab/>
            </w:r>
            <w:r>
              <w:rPr>
                <w:webHidden/>
              </w:rPr>
              <w:fldChar w:fldCharType="begin"/>
            </w:r>
            <w:r>
              <w:rPr>
                <w:webHidden/>
              </w:rPr>
              <w:instrText xml:space="preserve"> PAGEREF _Toc506462951 \h </w:instrText>
            </w:r>
            <w:r>
              <w:rPr>
                <w:webHidden/>
              </w:rPr>
            </w:r>
            <w:r>
              <w:rPr>
                <w:webHidden/>
              </w:rPr>
              <w:fldChar w:fldCharType="separate"/>
            </w:r>
            <w:r w:rsidR="002D357C">
              <w:rPr>
                <w:webHidden/>
              </w:rPr>
              <w:t>14</w:t>
            </w:r>
            <w:r>
              <w:rPr>
                <w:webHidden/>
              </w:rPr>
              <w:fldChar w:fldCharType="end"/>
            </w:r>
          </w:hyperlink>
        </w:p>
        <w:p w14:paraId="0FD60274" w14:textId="77777777" w:rsidR="00831054" w:rsidRDefault="00831054">
          <w:pPr>
            <w:pStyle w:val="TOC2"/>
            <w:rPr>
              <w:rFonts w:asciiTheme="minorHAnsi" w:hAnsiTheme="minorHAnsi" w:cstheme="minorBidi"/>
            </w:rPr>
          </w:pPr>
          <w:hyperlink w:anchor="_Toc506462952" w:history="1">
            <w:r w:rsidRPr="00F4014F">
              <w:rPr>
                <w:rStyle w:val="Hyperlink"/>
              </w:rPr>
              <w:t>6.5</w:t>
            </w:r>
            <w:r>
              <w:rPr>
                <w:rFonts w:asciiTheme="minorHAnsi" w:hAnsiTheme="minorHAnsi" w:cstheme="minorBidi"/>
              </w:rPr>
              <w:tab/>
            </w:r>
            <w:r w:rsidRPr="00F4014F">
              <w:rPr>
                <w:rStyle w:val="Hyperlink"/>
              </w:rPr>
              <w:t>Disposal</w:t>
            </w:r>
            <w:r>
              <w:rPr>
                <w:webHidden/>
              </w:rPr>
              <w:tab/>
            </w:r>
            <w:r>
              <w:rPr>
                <w:webHidden/>
              </w:rPr>
              <w:fldChar w:fldCharType="begin"/>
            </w:r>
            <w:r>
              <w:rPr>
                <w:webHidden/>
              </w:rPr>
              <w:instrText xml:space="preserve"> PAGEREF _Toc506462952 \h </w:instrText>
            </w:r>
            <w:r>
              <w:rPr>
                <w:webHidden/>
              </w:rPr>
            </w:r>
            <w:r>
              <w:rPr>
                <w:webHidden/>
              </w:rPr>
              <w:fldChar w:fldCharType="separate"/>
            </w:r>
            <w:r w:rsidR="002D357C">
              <w:rPr>
                <w:webHidden/>
              </w:rPr>
              <w:t>14</w:t>
            </w:r>
            <w:r>
              <w:rPr>
                <w:webHidden/>
              </w:rPr>
              <w:fldChar w:fldCharType="end"/>
            </w:r>
          </w:hyperlink>
        </w:p>
        <w:p w14:paraId="2028C6DA" w14:textId="77777777" w:rsidR="00831054" w:rsidRDefault="00831054">
          <w:pPr>
            <w:pStyle w:val="TOC3"/>
            <w:rPr>
              <w:rFonts w:asciiTheme="minorHAnsi" w:hAnsiTheme="minorHAnsi" w:cstheme="minorBidi"/>
            </w:rPr>
          </w:pPr>
          <w:hyperlink w:anchor="_Toc506462953" w:history="1">
            <w:r w:rsidRPr="00F4014F">
              <w:rPr>
                <w:rStyle w:val="Hyperlink"/>
              </w:rPr>
              <w:t>6.5.1</w:t>
            </w:r>
            <w:r>
              <w:rPr>
                <w:rFonts w:asciiTheme="minorHAnsi" w:hAnsiTheme="minorHAnsi" w:cstheme="minorBidi"/>
              </w:rPr>
              <w:tab/>
            </w:r>
            <w:r w:rsidRPr="00F4014F">
              <w:rPr>
                <w:rStyle w:val="Hyperlink"/>
              </w:rPr>
              <w:t>Records disposal schedules</w:t>
            </w:r>
            <w:r>
              <w:rPr>
                <w:webHidden/>
              </w:rPr>
              <w:tab/>
            </w:r>
            <w:r>
              <w:rPr>
                <w:webHidden/>
              </w:rPr>
              <w:fldChar w:fldCharType="begin"/>
            </w:r>
            <w:r>
              <w:rPr>
                <w:webHidden/>
              </w:rPr>
              <w:instrText xml:space="preserve"> PAGEREF _Toc506462953 \h </w:instrText>
            </w:r>
            <w:r>
              <w:rPr>
                <w:webHidden/>
              </w:rPr>
            </w:r>
            <w:r>
              <w:rPr>
                <w:webHidden/>
              </w:rPr>
              <w:fldChar w:fldCharType="separate"/>
            </w:r>
            <w:r w:rsidR="002D357C">
              <w:rPr>
                <w:webHidden/>
              </w:rPr>
              <w:t>14</w:t>
            </w:r>
            <w:r>
              <w:rPr>
                <w:webHidden/>
              </w:rPr>
              <w:fldChar w:fldCharType="end"/>
            </w:r>
          </w:hyperlink>
        </w:p>
        <w:p w14:paraId="57616133" w14:textId="77777777" w:rsidR="00831054" w:rsidRDefault="00831054">
          <w:pPr>
            <w:pStyle w:val="TOC3"/>
            <w:rPr>
              <w:rFonts w:asciiTheme="minorHAnsi" w:hAnsiTheme="minorHAnsi" w:cstheme="minorBidi"/>
            </w:rPr>
          </w:pPr>
          <w:hyperlink w:anchor="_Toc506462954" w:history="1">
            <w:r w:rsidRPr="00F4014F">
              <w:rPr>
                <w:rStyle w:val="Hyperlink"/>
              </w:rPr>
              <w:t>6.5.2</w:t>
            </w:r>
            <w:r>
              <w:rPr>
                <w:rFonts w:asciiTheme="minorHAnsi" w:hAnsiTheme="minorHAnsi" w:cstheme="minorBidi"/>
              </w:rPr>
              <w:tab/>
            </w:r>
            <w:r w:rsidRPr="00F4014F">
              <w:rPr>
                <w:rStyle w:val="Hyperlink"/>
              </w:rPr>
              <w:t>Short-term and transitionary records</w:t>
            </w:r>
            <w:r>
              <w:rPr>
                <w:webHidden/>
              </w:rPr>
              <w:tab/>
            </w:r>
            <w:r>
              <w:rPr>
                <w:webHidden/>
              </w:rPr>
              <w:fldChar w:fldCharType="begin"/>
            </w:r>
            <w:r>
              <w:rPr>
                <w:webHidden/>
              </w:rPr>
              <w:instrText xml:space="preserve"> PAGEREF _Toc506462954 \h </w:instrText>
            </w:r>
            <w:r>
              <w:rPr>
                <w:webHidden/>
              </w:rPr>
            </w:r>
            <w:r>
              <w:rPr>
                <w:webHidden/>
              </w:rPr>
              <w:fldChar w:fldCharType="separate"/>
            </w:r>
            <w:r w:rsidR="002D357C">
              <w:rPr>
                <w:webHidden/>
              </w:rPr>
              <w:t>15</w:t>
            </w:r>
            <w:r>
              <w:rPr>
                <w:webHidden/>
              </w:rPr>
              <w:fldChar w:fldCharType="end"/>
            </w:r>
          </w:hyperlink>
        </w:p>
        <w:p w14:paraId="4DDAD0B8" w14:textId="77777777" w:rsidR="00831054" w:rsidRDefault="00831054">
          <w:pPr>
            <w:pStyle w:val="TOC3"/>
            <w:rPr>
              <w:rFonts w:asciiTheme="minorHAnsi" w:hAnsiTheme="minorHAnsi" w:cstheme="minorBidi"/>
            </w:rPr>
          </w:pPr>
          <w:hyperlink w:anchor="_Toc506462955" w:history="1">
            <w:r w:rsidRPr="00F4014F">
              <w:rPr>
                <w:rStyle w:val="Hyperlink"/>
              </w:rPr>
              <w:t>6.5.3</w:t>
            </w:r>
            <w:r>
              <w:rPr>
                <w:rFonts w:asciiTheme="minorHAnsi" w:hAnsiTheme="minorHAnsi" w:cstheme="minorBidi"/>
              </w:rPr>
              <w:tab/>
            </w:r>
            <w:r w:rsidRPr="00F4014F">
              <w:rPr>
                <w:rStyle w:val="Hyperlink"/>
              </w:rPr>
              <w:t>Disposal of records</w:t>
            </w:r>
            <w:r>
              <w:rPr>
                <w:webHidden/>
              </w:rPr>
              <w:tab/>
            </w:r>
            <w:r>
              <w:rPr>
                <w:webHidden/>
              </w:rPr>
              <w:fldChar w:fldCharType="begin"/>
            </w:r>
            <w:r>
              <w:rPr>
                <w:webHidden/>
              </w:rPr>
              <w:instrText xml:space="preserve"> PAGEREF _Toc506462955 \h </w:instrText>
            </w:r>
            <w:r>
              <w:rPr>
                <w:webHidden/>
              </w:rPr>
            </w:r>
            <w:r>
              <w:rPr>
                <w:webHidden/>
              </w:rPr>
              <w:fldChar w:fldCharType="separate"/>
            </w:r>
            <w:r w:rsidR="002D357C">
              <w:rPr>
                <w:webHidden/>
              </w:rPr>
              <w:t>15</w:t>
            </w:r>
            <w:r>
              <w:rPr>
                <w:webHidden/>
              </w:rPr>
              <w:fldChar w:fldCharType="end"/>
            </w:r>
          </w:hyperlink>
        </w:p>
        <w:p w14:paraId="5E8611F6" w14:textId="77777777" w:rsidR="00831054" w:rsidRDefault="00831054">
          <w:pPr>
            <w:pStyle w:val="TOC3"/>
            <w:rPr>
              <w:rFonts w:asciiTheme="minorHAnsi" w:hAnsiTheme="minorHAnsi" w:cstheme="minorBidi"/>
            </w:rPr>
          </w:pPr>
          <w:hyperlink w:anchor="_Toc506462956" w:history="1">
            <w:r w:rsidRPr="00F4014F">
              <w:rPr>
                <w:rStyle w:val="Hyperlink"/>
              </w:rPr>
              <w:t>6.5.4</w:t>
            </w:r>
            <w:r>
              <w:rPr>
                <w:rFonts w:asciiTheme="minorHAnsi" w:hAnsiTheme="minorHAnsi" w:cstheme="minorBidi"/>
              </w:rPr>
              <w:tab/>
            </w:r>
            <w:r w:rsidRPr="00F4014F">
              <w:rPr>
                <w:rStyle w:val="Hyperlink"/>
              </w:rPr>
              <w:t>Archives</w:t>
            </w:r>
            <w:r>
              <w:rPr>
                <w:webHidden/>
              </w:rPr>
              <w:tab/>
            </w:r>
            <w:r>
              <w:rPr>
                <w:webHidden/>
              </w:rPr>
              <w:fldChar w:fldCharType="begin"/>
            </w:r>
            <w:r>
              <w:rPr>
                <w:webHidden/>
              </w:rPr>
              <w:instrText xml:space="preserve"> PAGEREF _Toc506462956 \h </w:instrText>
            </w:r>
            <w:r>
              <w:rPr>
                <w:webHidden/>
              </w:rPr>
            </w:r>
            <w:r>
              <w:rPr>
                <w:webHidden/>
              </w:rPr>
              <w:fldChar w:fldCharType="separate"/>
            </w:r>
            <w:r w:rsidR="002D357C">
              <w:rPr>
                <w:webHidden/>
              </w:rPr>
              <w:t>16</w:t>
            </w:r>
            <w:r>
              <w:rPr>
                <w:webHidden/>
              </w:rPr>
              <w:fldChar w:fldCharType="end"/>
            </w:r>
          </w:hyperlink>
        </w:p>
        <w:p w14:paraId="586BF284" w14:textId="77777777" w:rsidR="00831054" w:rsidRDefault="00831054">
          <w:pPr>
            <w:pStyle w:val="TOC1"/>
            <w:rPr>
              <w:rFonts w:asciiTheme="minorHAnsi" w:hAnsiTheme="minorHAnsi" w:cstheme="minorBidi"/>
              <w:b w:val="0"/>
            </w:rPr>
          </w:pPr>
          <w:hyperlink w:anchor="_Toc506462957" w:history="1">
            <w:r w:rsidRPr="00F4014F">
              <w:rPr>
                <w:rStyle w:val="Hyperlink"/>
              </w:rPr>
              <w:t>7</w:t>
            </w:r>
            <w:r>
              <w:rPr>
                <w:rFonts w:asciiTheme="minorHAnsi" w:hAnsiTheme="minorHAnsi" w:cstheme="minorBidi"/>
                <w:b w:val="0"/>
              </w:rPr>
              <w:tab/>
            </w:r>
            <w:r w:rsidRPr="00F4014F">
              <w:rPr>
                <w:rStyle w:val="Hyperlink"/>
              </w:rPr>
              <w:t>Definitions</w:t>
            </w:r>
            <w:r>
              <w:rPr>
                <w:webHidden/>
              </w:rPr>
              <w:tab/>
            </w:r>
            <w:r>
              <w:rPr>
                <w:webHidden/>
              </w:rPr>
              <w:fldChar w:fldCharType="begin"/>
            </w:r>
            <w:r>
              <w:rPr>
                <w:webHidden/>
              </w:rPr>
              <w:instrText xml:space="preserve"> PAGEREF _Toc506462957 \h </w:instrText>
            </w:r>
            <w:r>
              <w:rPr>
                <w:webHidden/>
              </w:rPr>
            </w:r>
            <w:r>
              <w:rPr>
                <w:webHidden/>
              </w:rPr>
              <w:fldChar w:fldCharType="separate"/>
            </w:r>
            <w:r w:rsidR="002D357C">
              <w:rPr>
                <w:webHidden/>
              </w:rPr>
              <w:t>16</w:t>
            </w:r>
            <w:r>
              <w:rPr>
                <w:webHidden/>
              </w:rPr>
              <w:fldChar w:fldCharType="end"/>
            </w:r>
          </w:hyperlink>
        </w:p>
        <w:p w14:paraId="40439E3A" w14:textId="77777777" w:rsidR="00831054" w:rsidRDefault="00831054">
          <w:pPr>
            <w:pStyle w:val="TOC1"/>
            <w:rPr>
              <w:rFonts w:asciiTheme="minorHAnsi" w:hAnsiTheme="minorHAnsi" w:cstheme="minorBidi"/>
              <w:b w:val="0"/>
            </w:rPr>
          </w:pPr>
          <w:hyperlink w:anchor="_Toc506462958" w:history="1">
            <w:r w:rsidRPr="00F4014F">
              <w:rPr>
                <w:rStyle w:val="Hyperlink"/>
              </w:rPr>
              <w:t>8</w:t>
            </w:r>
            <w:r>
              <w:rPr>
                <w:rFonts w:asciiTheme="minorHAnsi" w:hAnsiTheme="minorHAnsi" w:cstheme="minorBidi"/>
                <w:b w:val="0"/>
              </w:rPr>
              <w:tab/>
            </w:r>
            <w:r w:rsidRPr="00F4014F">
              <w:rPr>
                <w:rStyle w:val="Hyperlink"/>
              </w:rPr>
              <w:t>Glossary of Acronyms</w:t>
            </w:r>
            <w:r>
              <w:rPr>
                <w:webHidden/>
              </w:rPr>
              <w:tab/>
            </w:r>
            <w:r>
              <w:rPr>
                <w:webHidden/>
              </w:rPr>
              <w:fldChar w:fldCharType="begin"/>
            </w:r>
            <w:r>
              <w:rPr>
                <w:webHidden/>
              </w:rPr>
              <w:instrText xml:space="preserve"> PAGEREF _Toc506462958 \h </w:instrText>
            </w:r>
            <w:r>
              <w:rPr>
                <w:webHidden/>
              </w:rPr>
            </w:r>
            <w:r>
              <w:rPr>
                <w:webHidden/>
              </w:rPr>
              <w:fldChar w:fldCharType="separate"/>
            </w:r>
            <w:r w:rsidR="002D357C">
              <w:rPr>
                <w:webHidden/>
              </w:rPr>
              <w:t>18</w:t>
            </w:r>
            <w:r>
              <w:rPr>
                <w:webHidden/>
              </w:rPr>
              <w:fldChar w:fldCharType="end"/>
            </w:r>
          </w:hyperlink>
        </w:p>
        <w:p w14:paraId="7D19DC9A" w14:textId="77777777" w:rsidR="00831054" w:rsidRDefault="00831054">
          <w:pPr>
            <w:pStyle w:val="TOC1"/>
            <w:rPr>
              <w:rFonts w:asciiTheme="minorHAnsi" w:hAnsiTheme="minorHAnsi" w:cstheme="minorBidi"/>
              <w:b w:val="0"/>
            </w:rPr>
          </w:pPr>
          <w:hyperlink w:anchor="_Toc506462959" w:history="1">
            <w:r w:rsidRPr="00F4014F">
              <w:rPr>
                <w:rStyle w:val="Hyperlink"/>
              </w:rPr>
              <w:t>9</w:t>
            </w:r>
            <w:r>
              <w:rPr>
                <w:rFonts w:asciiTheme="minorHAnsi" w:hAnsiTheme="minorHAnsi" w:cstheme="minorBidi"/>
                <w:b w:val="0"/>
              </w:rPr>
              <w:tab/>
            </w:r>
            <w:r w:rsidRPr="00F4014F">
              <w:rPr>
                <w:rStyle w:val="Hyperlink"/>
              </w:rPr>
              <w:t>Key references</w:t>
            </w:r>
            <w:r>
              <w:rPr>
                <w:webHidden/>
              </w:rPr>
              <w:tab/>
            </w:r>
            <w:r>
              <w:rPr>
                <w:webHidden/>
              </w:rPr>
              <w:fldChar w:fldCharType="begin"/>
            </w:r>
            <w:r>
              <w:rPr>
                <w:webHidden/>
              </w:rPr>
              <w:instrText xml:space="preserve"> PAGEREF _Toc506462959 \h </w:instrText>
            </w:r>
            <w:r>
              <w:rPr>
                <w:webHidden/>
              </w:rPr>
            </w:r>
            <w:r>
              <w:rPr>
                <w:webHidden/>
              </w:rPr>
              <w:fldChar w:fldCharType="separate"/>
            </w:r>
            <w:r w:rsidR="002D357C">
              <w:rPr>
                <w:webHidden/>
              </w:rPr>
              <w:t>18</w:t>
            </w:r>
            <w:r>
              <w:rPr>
                <w:webHidden/>
              </w:rPr>
              <w:fldChar w:fldCharType="end"/>
            </w:r>
          </w:hyperlink>
        </w:p>
        <w:p w14:paraId="75197211" w14:textId="77777777" w:rsidR="00301998" w:rsidRDefault="00301998">
          <w:r>
            <w:rPr>
              <w:b/>
              <w:bCs/>
              <w:noProof/>
            </w:rPr>
            <w:fldChar w:fldCharType="end"/>
          </w:r>
        </w:p>
      </w:sdtContent>
    </w:sdt>
    <w:p w14:paraId="6C39E9CA" w14:textId="77777777" w:rsidR="00856EC2" w:rsidRPr="002E3B83" w:rsidRDefault="00856EC2" w:rsidP="00AB698F">
      <w:pPr>
        <w:spacing w:after="120"/>
        <w:sectPr w:rsidR="00856EC2" w:rsidRPr="002E3B83" w:rsidSect="007D55DF">
          <w:headerReference w:type="default" r:id="rId15"/>
          <w:headerReference w:type="first" r:id="rId16"/>
          <w:pgSz w:w="11906" w:h="16838" w:code="9"/>
          <w:pgMar w:top="1134" w:right="1134" w:bottom="1134" w:left="1134" w:header="709" w:footer="0" w:gutter="0"/>
          <w:cols w:space="708"/>
          <w:docGrid w:linePitch="360"/>
        </w:sectPr>
      </w:pPr>
      <w:r>
        <w:t>.</w:t>
      </w:r>
    </w:p>
    <w:p w14:paraId="04CACEB7" w14:textId="76D6BAB9" w:rsidR="006D4508" w:rsidRDefault="008330A9" w:rsidP="009B6238">
      <w:pPr>
        <w:pStyle w:val="Heading1"/>
      </w:pPr>
      <w:bookmarkStart w:id="1" w:name="_Toc506462930"/>
      <w:r>
        <w:lastRenderedPageBreak/>
        <w:t>Introduction</w:t>
      </w:r>
      <w:r w:rsidR="002A5D45">
        <w:t>/p</w:t>
      </w:r>
      <w:r w:rsidR="000D55D9">
        <w:t>urpose</w:t>
      </w:r>
      <w:bookmarkEnd w:id="1"/>
    </w:p>
    <w:p w14:paraId="7368FE58" w14:textId="1C8CBBFC" w:rsidR="008330A9" w:rsidRDefault="008330A9" w:rsidP="008330A9">
      <w:r>
        <w:t xml:space="preserve">This Standard </w:t>
      </w:r>
      <w:r w:rsidR="000D55D9">
        <w:t xml:space="preserve">specifies </w:t>
      </w:r>
      <w:r>
        <w:t>requirements for the management of Northern Territory Government (NTG) records and information. This Standard covers all information assets in any format and in any system owned or managed by public sector organisat</w:t>
      </w:r>
      <w:r w:rsidR="00B46882">
        <w:t>ions (PSO) as defined in Section </w:t>
      </w:r>
      <w:r>
        <w:t xml:space="preserve">5 of the </w:t>
      </w:r>
      <w:r w:rsidRPr="00635A42">
        <w:rPr>
          <w:i/>
        </w:rPr>
        <w:t>Information Act</w:t>
      </w:r>
      <w:r w:rsidR="00F929D2">
        <w:rPr>
          <w:i/>
        </w:rPr>
        <w:t xml:space="preserve"> </w:t>
      </w:r>
      <w:r w:rsidR="00F929D2" w:rsidRPr="00AB698F">
        <w:t>(the Act)</w:t>
      </w:r>
      <w:r>
        <w:t>.</w:t>
      </w:r>
    </w:p>
    <w:p w14:paraId="1DF27B32" w14:textId="0A9F754B" w:rsidR="004D4793" w:rsidRDefault="004D4793" w:rsidP="004D4793">
      <w:r>
        <w:t xml:space="preserve">This Standard assists </w:t>
      </w:r>
      <w:r w:rsidR="00B3071A">
        <w:t>c</w:t>
      </w:r>
      <w:r>
        <w:t xml:space="preserve">hief </w:t>
      </w:r>
      <w:r w:rsidR="00B3071A">
        <w:t>e</w:t>
      </w:r>
      <w:r>
        <w:t xml:space="preserve">xecutive </w:t>
      </w:r>
      <w:r w:rsidR="00B3071A">
        <w:t>o</w:t>
      </w:r>
      <w:r>
        <w:t>fficer</w:t>
      </w:r>
      <w:r w:rsidRPr="00E70147">
        <w:t>s, senior managers, system administrators, records managers, and all personnel responsible and accountable for creating and keeping evidence of the operations of a PSO.</w:t>
      </w:r>
    </w:p>
    <w:p w14:paraId="7A6CDF23" w14:textId="77777777" w:rsidR="00740EA3" w:rsidRDefault="002B65FE" w:rsidP="004D4793">
      <w:r>
        <w:t xml:space="preserve">A </w:t>
      </w:r>
      <w:r w:rsidR="00740EA3" w:rsidRPr="00197933">
        <w:t xml:space="preserve">record is a piece of information which has been created or used by a </w:t>
      </w:r>
      <w:r w:rsidR="00740EA3">
        <w:t>PSO</w:t>
      </w:r>
      <w:r w:rsidR="00740EA3" w:rsidRPr="00197933">
        <w:t xml:space="preserve"> to come to a d</w:t>
      </w:r>
      <w:r w:rsidR="00740EA3">
        <w:t xml:space="preserve">ecision, formulate advice, </w:t>
      </w:r>
      <w:r w:rsidR="00740EA3" w:rsidRPr="00197933">
        <w:t>conduct a transaction</w:t>
      </w:r>
      <w:r w:rsidR="00740EA3">
        <w:t>, or in some way document government business</w:t>
      </w:r>
      <w:r w:rsidR="00740EA3" w:rsidRPr="00197933">
        <w:t>.</w:t>
      </w:r>
    </w:p>
    <w:p w14:paraId="3DB947D6" w14:textId="77777777" w:rsidR="00BF4DCB" w:rsidRDefault="00BF4DCB" w:rsidP="004D4793">
      <w:r>
        <w:t>Records and information management support business operations and accountability requirements by ensuring the creation, maintenance, useability and sustainability of records and information needed for short and long term business operations.</w:t>
      </w:r>
    </w:p>
    <w:p w14:paraId="0805BBFB" w14:textId="77777777" w:rsidR="00856EC2" w:rsidRDefault="00856EC2" w:rsidP="00AB698F">
      <w:pPr>
        <w:pStyle w:val="Heading1"/>
      </w:pPr>
      <w:bookmarkStart w:id="2" w:name="_Toc475034131"/>
      <w:bookmarkStart w:id="3" w:name="_Toc475034398"/>
      <w:bookmarkStart w:id="4" w:name="_Toc475034659"/>
      <w:bookmarkStart w:id="5" w:name="_Toc475034132"/>
      <w:bookmarkStart w:id="6" w:name="_Toc475034399"/>
      <w:bookmarkStart w:id="7" w:name="_Toc475034660"/>
      <w:bookmarkStart w:id="8" w:name="_Toc475034133"/>
      <w:bookmarkStart w:id="9" w:name="_Toc475034400"/>
      <w:bookmarkStart w:id="10" w:name="_Toc475034661"/>
      <w:bookmarkStart w:id="11" w:name="_Toc506462931"/>
      <w:bookmarkEnd w:id="2"/>
      <w:bookmarkEnd w:id="3"/>
      <w:bookmarkEnd w:id="4"/>
      <w:bookmarkEnd w:id="5"/>
      <w:bookmarkEnd w:id="6"/>
      <w:bookmarkEnd w:id="7"/>
      <w:bookmarkEnd w:id="8"/>
      <w:bookmarkEnd w:id="9"/>
      <w:bookmarkEnd w:id="10"/>
      <w:r>
        <w:t>Principles</w:t>
      </w:r>
      <w:bookmarkEnd w:id="11"/>
    </w:p>
    <w:p w14:paraId="5F093A7D" w14:textId="19BFF017" w:rsidR="000D55D9" w:rsidRPr="00AB698F" w:rsidRDefault="004A6139" w:rsidP="000D55D9">
      <w:r>
        <w:t>These</w:t>
      </w:r>
      <w:r w:rsidR="004D4793">
        <w:t xml:space="preserve"> principles specify the core requirements for </w:t>
      </w:r>
      <w:r w:rsidR="000D55D9">
        <w:t xml:space="preserve">the </w:t>
      </w:r>
      <w:r w:rsidR="009470C5">
        <w:t xml:space="preserve">effective </w:t>
      </w:r>
      <w:r w:rsidR="000D55D9">
        <w:t>management of records and information</w:t>
      </w:r>
      <w:r w:rsidR="00F929D2">
        <w:t>,</w:t>
      </w:r>
      <w:r w:rsidR="00EE16D5">
        <w:t xml:space="preserve"> and must be adhered to by </w:t>
      </w:r>
      <w:r w:rsidR="00A10F8C">
        <w:t>personnel</w:t>
      </w:r>
      <w:r w:rsidR="009470C5">
        <w:t xml:space="preserve"> to provide </w:t>
      </w:r>
      <w:r w:rsidR="000D55D9" w:rsidRPr="00AB698F">
        <w:t>accountability and transparency in the conduct of NT</w:t>
      </w:r>
      <w:r w:rsidR="00B46882">
        <w:t>G government business.</w:t>
      </w:r>
    </w:p>
    <w:p w14:paraId="0015B0FE" w14:textId="736A6484" w:rsidR="00F42E39" w:rsidRPr="00AB698F" w:rsidRDefault="00F42E39" w:rsidP="00B533D4">
      <w:pPr>
        <w:pStyle w:val="NumberedPara"/>
      </w:pPr>
      <w:r w:rsidRPr="00AB698F">
        <w:t xml:space="preserve">Governance – effective management of records management systems to ensure the records of a PSO meet requirements of </w:t>
      </w:r>
      <w:r w:rsidR="00523B6A">
        <w:t>its regulatory environment</w:t>
      </w:r>
      <w:r w:rsidRPr="00AB698F">
        <w:t xml:space="preserve"> and community expectations of acc</w:t>
      </w:r>
      <w:r w:rsidR="00B46882">
        <w:t>ountability and transparency.</w:t>
      </w:r>
    </w:p>
    <w:p w14:paraId="5B33C31C" w14:textId="539F04B4" w:rsidR="004D4793" w:rsidRPr="00AB698F" w:rsidRDefault="004D4793" w:rsidP="00B533D4">
      <w:pPr>
        <w:pStyle w:val="NumberedPara"/>
      </w:pPr>
      <w:r w:rsidRPr="00AB698F">
        <w:t xml:space="preserve">Capture – </w:t>
      </w:r>
      <w:r w:rsidR="00F42E39" w:rsidRPr="00AB698F">
        <w:t xml:space="preserve">records are adequately </w:t>
      </w:r>
      <w:r w:rsidR="002B65FE">
        <w:t xml:space="preserve">captured and </w:t>
      </w:r>
      <w:r w:rsidR="00F42E39" w:rsidRPr="00AB698F">
        <w:t>stored to protect their authenticity and integrity as a full and accurate representation of the transaction(s) to which they attest, and can be depended on in the course of subsequ</w:t>
      </w:r>
      <w:r w:rsidR="00B46882">
        <w:t>ent transactions.</w:t>
      </w:r>
    </w:p>
    <w:p w14:paraId="6BD0E3E9" w14:textId="168444D6" w:rsidR="004D4793" w:rsidRPr="00AB698F" w:rsidRDefault="004D4793" w:rsidP="00B533D4">
      <w:pPr>
        <w:pStyle w:val="NumberedPara"/>
      </w:pPr>
      <w:r w:rsidRPr="00AB698F">
        <w:t xml:space="preserve">Discovery – </w:t>
      </w:r>
      <w:r w:rsidR="00F42E39" w:rsidRPr="00AB698F">
        <w:t>the record can be readily located, retrieved, interpreted and preserved for the duration the re</w:t>
      </w:r>
      <w:r w:rsidR="00B46882">
        <w:t>cord is required to be retained.</w:t>
      </w:r>
    </w:p>
    <w:p w14:paraId="47C447D9" w14:textId="6B51783E" w:rsidR="004D4793" w:rsidRPr="00AB698F" w:rsidRDefault="004D4793" w:rsidP="00B533D4">
      <w:pPr>
        <w:pStyle w:val="NumberedPara"/>
      </w:pPr>
      <w:r w:rsidRPr="00AB698F">
        <w:t xml:space="preserve">Security – </w:t>
      </w:r>
      <w:r w:rsidR="002B65FE">
        <w:t xml:space="preserve">information </w:t>
      </w:r>
      <w:r w:rsidR="00F42E39" w:rsidRPr="00AB698F">
        <w:t>security protect</w:t>
      </w:r>
      <w:r w:rsidR="002B65FE">
        <w:t xml:space="preserve">s the confidentiality and integrity of records through controls on their </w:t>
      </w:r>
      <w:r w:rsidR="00192BD8">
        <w:t xml:space="preserve">storage, </w:t>
      </w:r>
      <w:r w:rsidR="002B65FE">
        <w:t>access</w:t>
      </w:r>
      <w:r w:rsidR="005625A2">
        <w:t xml:space="preserve"> and handling</w:t>
      </w:r>
      <w:r w:rsidR="00B46882">
        <w:t>.</w:t>
      </w:r>
    </w:p>
    <w:p w14:paraId="50052061" w14:textId="2F7ECCB3" w:rsidR="00F42E39" w:rsidRPr="00AB698F" w:rsidRDefault="004D4793" w:rsidP="00B533D4">
      <w:pPr>
        <w:pStyle w:val="NumberedPara"/>
      </w:pPr>
      <w:r w:rsidRPr="00AB698F">
        <w:t xml:space="preserve">Disposal </w:t>
      </w:r>
      <w:r w:rsidR="006E2C29" w:rsidRPr="009F4341">
        <w:t>–</w:t>
      </w:r>
      <w:r w:rsidR="006E2C29">
        <w:t xml:space="preserve"> </w:t>
      </w:r>
      <w:r w:rsidR="00F42E39" w:rsidRPr="00AB698F">
        <w:t xml:space="preserve">records are disposed of in accordance with the </w:t>
      </w:r>
      <w:r w:rsidR="005625A2" w:rsidRPr="003C3617">
        <w:rPr>
          <w:i/>
        </w:rPr>
        <w:t>Information Act</w:t>
      </w:r>
      <w:r w:rsidR="005625A2">
        <w:rPr>
          <w:i/>
        </w:rPr>
        <w:t>.</w:t>
      </w:r>
    </w:p>
    <w:p w14:paraId="6FB80D31" w14:textId="77777777" w:rsidR="000D55D9" w:rsidRDefault="000D55D9" w:rsidP="000D55D9">
      <w:r>
        <w:t>The</w:t>
      </w:r>
      <w:r w:rsidR="00203D5F">
        <w:t>se</w:t>
      </w:r>
      <w:r>
        <w:t xml:space="preserve"> records and information management principles, when integrated into business policies, procedures and systems, will create </w:t>
      </w:r>
      <w:r w:rsidR="00BF4DCB">
        <w:t xml:space="preserve">reliable records and </w:t>
      </w:r>
      <w:r>
        <w:t>trustworthy evidence of business activity.</w:t>
      </w:r>
    </w:p>
    <w:p w14:paraId="02DEF67C" w14:textId="7233F40E" w:rsidR="00523530" w:rsidRDefault="00523530" w:rsidP="00AB698F">
      <w:pPr>
        <w:pStyle w:val="Heading1"/>
      </w:pPr>
      <w:bookmarkStart w:id="12" w:name="_Toc506462932"/>
      <w:r>
        <w:t>Authority</w:t>
      </w:r>
      <w:bookmarkEnd w:id="12"/>
    </w:p>
    <w:p w14:paraId="4D3D8F8A" w14:textId="268587AA" w:rsidR="00523530" w:rsidRDefault="00F75D64" w:rsidP="0002202F">
      <w:pPr>
        <w:ind w:right="-285"/>
      </w:pPr>
      <w:r>
        <w:t xml:space="preserve">This standard draws authority from </w:t>
      </w:r>
      <w:r w:rsidR="00B46882">
        <w:t>Part </w:t>
      </w:r>
      <w:r w:rsidR="00523530">
        <w:t xml:space="preserve">9 of </w:t>
      </w:r>
      <w:r w:rsidR="00523530" w:rsidRPr="009169A1">
        <w:t xml:space="preserve">the </w:t>
      </w:r>
      <w:r w:rsidR="00523530" w:rsidRPr="00AB698F">
        <w:rPr>
          <w:i/>
        </w:rPr>
        <w:t>Information Act</w:t>
      </w:r>
      <w:r w:rsidR="00523530">
        <w:rPr>
          <w:i/>
        </w:rPr>
        <w:t>.</w:t>
      </w:r>
      <w:r>
        <w:t xml:space="preserve"> As required by the Act the </w:t>
      </w:r>
      <w:r w:rsidR="008B7CE8">
        <w:br/>
      </w:r>
      <w:r>
        <w:t>standard has been e</w:t>
      </w:r>
      <w:r w:rsidR="00523530">
        <w:t>ndorsed by the</w:t>
      </w:r>
      <w:r>
        <w:t xml:space="preserve"> </w:t>
      </w:r>
      <w:r w:rsidR="00523530">
        <w:t>NT Information Commissioner</w:t>
      </w:r>
      <w:r w:rsidR="00014C76">
        <w:t>,</w:t>
      </w:r>
      <w:r>
        <w:t xml:space="preserve"> </w:t>
      </w:r>
      <w:r w:rsidR="00014C76">
        <w:t>with</w:t>
      </w:r>
      <w:r>
        <w:t xml:space="preserve"> the </w:t>
      </w:r>
      <w:r w:rsidR="00523530">
        <w:t xml:space="preserve">Minister for </w:t>
      </w:r>
      <w:r w:rsidR="008B7CE8">
        <w:br/>
      </w:r>
      <w:r w:rsidR="00523530">
        <w:t>Corporate and Information Services approv</w:t>
      </w:r>
      <w:r w:rsidR="00014C76">
        <w:t>ing</w:t>
      </w:r>
      <w:r w:rsidR="00523530">
        <w:t xml:space="preserve"> the Standard </w:t>
      </w:r>
      <w:r w:rsidR="00014C76">
        <w:t>in</w:t>
      </w:r>
      <w:r w:rsidR="008B7CE8">
        <w:t xml:space="preserve"> NT Government Gazette number G7</w:t>
      </w:r>
      <w:r w:rsidR="00B15095">
        <w:t> </w:t>
      </w:r>
      <w:r w:rsidR="00523530">
        <w:t>of</w:t>
      </w:r>
      <w:r w:rsidR="00B15095">
        <w:t> </w:t>
      </w:r>
      <w:r w:rsidR="008B7CE8">
        <w:t>15 February </w:t>
      </w:r>
      <w:r w:rsidR="00523530">
        <w:t>Month</w:t>
      </w:r>
      <w:r w:rsidR="00B15095">
        <w:t> </w:t>
      </w:r>
      <w:r w:rsidR="008B7CE8">
        <w:t>2018</w:t>
      </w:r>
      <w:r w:rsidR="00523530">
        <w:t>.</w:t>
      </w:r>
    </w:p>
    <w:p w14:paraId="4DB87D98" w14:textId="77777777" w:rsidR="00856EC2" w:rsidRDefault="00856EC2" w:rsidP="00AB698F">
      <w:pPr>
        <w:pStyle w:val="Heading1"/>
      </w:pPr>
      <w:bookmarkStart w:id="13" w:name="_Toc506462933"/>
      <w:r>
        <w:t>Scope</w:t>
      </w:r>
      <w:bookmarkEnd w:id="13"/>
    </w:p>
    <w:p w14:paraId="39B70F9A" w14:textId="3FF9290A" w:rsidR="00856EC2" w:rsidRDefault="00856EC2" w:rsidP="00856EC2">
      <w:pPr>
        <w:rPr>
          <w:i/>
        </w:rPr>
      </w:pPr>
      <w:r>
        <w:t xml:space="preserve">This Standard </w:t>
      </w:r>
      <w:r w:rsidR="00EE16D5">
        <w:t xml:space="preserve">applies to all </w:t>
      </w:r>
      <w:r w:rsidR="00A10F8C">
        <w:t>personnel</w:t>
      </w:r>
      <w:r w:rsidR="00EE16D5">
        <w:t xml:space="preserve"> </w:t>
      </w:r>
      <w:r w:rsidR="005625A2">
        <w:t>of</w:t>
      </w:r>
      <w:r w:rsidR="00EE16D5">
        <w:t xml:space="preserve"> </w:t>
      </w:r>
      <w:r w:rsidR="00B3071A">
        <w:t>PSOs</w:t>
      </w:r>
      <w:r w:rsidR="00EE16D5">
        <w:t xml:space="preserve"> as defined in </w:t>
      </w:r>
      <w:r w:rsidR="00EE16D5" w:rsidRPr="00B46882">
        <w:t>Section</w:t>
      </w:r>
      <w:r w:rsidR="00B46882">
        <w:t> </w:t>
      </w:r>
      <w:r w:rsidR="00EE16D5" w:rsidRPr="00B46882">
        <w:t>5</w:t>
      </w:r>
      <w:r w:rsidR="00EE16D5">
        <w:t xml:space="preserve"> of the </w:t>
      </w:r>
      <w:r w:rsidR="00EE16D5" w:rsidRPr="00AB698F">
        <w:rPr>
          <w:i/>
        </w:rPr>
        <w:t>Information Act</w:t>
      </w:r>
      <w:r w:rsidR="005625A2">
        <w:rPr>
          <w:i/>
        </w:rPr>
        <w:t xml:space="preserve"> </w:t>
      </w:r>
      <w:r w:rsidR="005625A2">
        <w:t>unless otherwise stated</w:t>
      </w:r>
      <w:r w:rsidR="00EE16D5" w:rsidRPr="00AB698F">
        <w:rPr>
          <w:i/>
        </w:rPr>
        <w:t>.</w:t>
      </w:r>
    </w:p>
    <w:p w14:paraId="3EDE698D" w14:textId="77777777" w:rsidR="008330A9" w:rsidRPr="009B6238" w:rsidRDefault="008330A9" w:rsidP="00B46882">
      <w:pPr>
        <w:pStyle w:val="Heading1"/>
        <w:spacing w:after="180"/>
      </w:pPr>
      <w:bookmarkStart w:id="14" w:name="_Toc475034138"/>
      <w:bookmarkStart w:id="15" w:name="_Toc475034405"/>
      <w:bookmarkStart w:id="16" w:name="_Toc475034667"/>
      <w:bookmarkStart w:id="17" w:name="_Toc475034139"/>
      <w:bookmarkStart w:id="18" w:name="_Toc475034406"/>
      <w:bookmarkStart w:id="19" w:name="_Toc475034668"/>
      <w:bookmarkStart w:id="20" w:name="_Toc475034140"/>
      <w:bookmarkStart w:id="21" w:name="_Toc475034407"/>
      <w:bookmarkStart w:id="22" w:name="_Toc475034669"/>
      <w:bookmarkStart w:id="23" w:name="_Toc475034141"/>
      <w:bookmarkStart w:id="24" w:name="_Toc475034408"/>
      <w:bookmarkStart w:id="25" w:name="_Toc475034670"/>
      <w:bookmarkStart w:id="26" w:name="_Toc475034142"/>
      <w:bookmarkStart w:id="27" w:name="_Toc475034409"/>
      <w:bookmarkStart w:id="28" w:name="_Toc475034671"/>
      <w:bookmarkStart w:id="29" w:name="_Toc475034143"/>
      <w:bookmarkStart w:id="30" w:name="_Toc475034410"/>
      <w:bookmarkStart w:id="31" w:name="_Toc475034672"/>
      <w:bookmarkStart w:id="32" w:name="_Toc475034144"/>
      <w:bookmarkStart w:id="33" w:name="_Toc475034411"/>
      <w:bookmarkStart w:id="34" w:name="_Toc475034673"/>
      <w:bookmarkStart w:id="35" w:name="_Toc475034145"/>
      <w:bookmarkStart w:id="36" w:name="_Toc475034412"/>
      <w:bookmarkStart w:id="37" w:name="_Toc475034674"/>
      <w:bookmarkStart w:id="38" w:name="_Toc475034146"/>
      <w:bookmarkStart w:id="39" w:name="_Toc475034413"/>
      <w:bookmarkStart w:id="40" w:name="_Toc475034675"/>
      <w:bookmarkStart w:id="41" w:name="_Toc475034147"/>
      <w:bookmarkStart w:id="42" w:name="_Toc475034414"/>
      <w:bookmarkStart w:id="43" w:name="_Toc475034676"/>
      <w:bookmarkStart w:id="44" w:name="_Toc475034148"/>
      <w:bookmarkStart w:id="45" w:name="_Toc475034415"/>
      <w:bookmarkStart w:id="46" w:name="_Toc475034677"/>
      <w:bookmarkStart w:id="47" w:name="_Toc506462934"/>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rsidRPr="009B6238">
        <w:lastRenderedPageBreak/>
        <w:t>Responsibilit</w:t>
      </w:r>
      <w:r w:rsidR="00EE16D5" w:rsidRPr="009B6238">
        <w:t>ies</w:t>
      </w:r>
      <w:bookmarkEnd w:id="47"/>
    </w:p>
    <w:p w14:paraId="7584218F" w14:textId="73C326ED" w:rsidR="00E35590" w:rsidRDefault="00CC0409" w:rsidP="00B533D4">
      <w:pPr>
        <w:pStyle w:val="NumberedPara"/>
        <w:numPr>
          <w:ilvl w:val="0"/>
          <w:numId w:val="8"/>
        </w:numPr>
      </w:pPr>
      <w:r>
        <w:t xml:space="preserve">Chief executive officers </w:t>
      </w:r>
      <w:r w:rsidR="00E35590">
        <w:t xml:space="preserve">of a PSO </w:t>
      </w:r>
      <w:r>
        <w:t xml:space="preserve">have overall responsibility for ensuring that records and information management undertaken within their </w:t>
      </w:r>
      <w:r w:rsidR="00A10F8C">
        <w:t>organisation</w:t>
      </w:r>
      <w:r w:rsidR="00B46882">
        <w:t xml:space="preserve"> complies with Part </w:t>
      </w:r>
      <w:r>
        <w:t>9 of the Act.</w:t>
      </w:r>
      <w:r w:rsidR="00E35590">
        <w:rPr>
          <w:rStyle w:val="FootnoteReference"/>
          <w:rFonts w:cs="Arial"/>
          <w:lang w:val="en"/>
        </w:rPr>
        <w:footnoteReference w:id="2"/>
      </w:r>
    </w:p>
    <w:p w14:paraId="690854E5" w14:textId="6DF1C27F" w:rsidR="00CC0409" w:rsidRDefault="00CC0409" w:rsidP="00B533D4">
      <w:pPr>
        <w:pStyle w:val="NumberedPara"/>
      </w:pPr>
      <w:r>
        <w:t xml:space="preserve">Chief executive officers must ensure that their </w:t>
      </w:r>
      <w:r w:rsidR="00A10F8C">
        <w:t>organisation</w:t>
      </w:r>
      <w:r>
        <w:t>’s annual report includes a statement about compliance with the Act.</w:t>
      </w:r>
      <w:r w:rsidR="006C58BE">
        <w:rPr>
          <w:rStyle w:val="FootnoteReference"/>
        </w:rPr>
        <w:footnoteReference w:id="3"/>
      </w:r>
    </w:p>
    <w:p w14:paraId="7FADCF65" w14:textId="77777777" w:rsidR="008330A9" w:rsidRDefault="00A8441D" w:rsidP="00B533D4">
      <w:pPr>
        <w:pStyle w:val="NumberedPara"/>
      </w:pPr>
      <w:r>
        <w:t xml:space="preserve">A </w:t>
      </w:r>
      <w:r w:rsidR="008330A9">
        <w:t>PSO must keep full and accurate records of its activities and operations and must implement practices and procedures for managing its record and information resources.</w:t>
      </w:r>
      <w:r w:rsidR="006D097C">
        <w:rPr>
          <w:rStyle w:val="FootnoteReference"/>
        </w:rPr>
        <w:footnoteReference w:id="4"/>
      </w:r>
    </w:p>
    <w:p w14:paraId="49FA5FB6" w14:textId="6EBF7F78" w:rsidR="008330A9" w:rsidRDefault="008330A9" w:rsidP="00B533D4">
      <w:pPr>
        <w:pStyle w:val="NumberedPara"/>
      </w:pPr>
      <w:r>
        <w:t xml:space="preserve">All </w:t>
      </w:r>
      <w:r w:rsidR="00A10F8C">
        <w:t>personnel</w:t>
      </w:r>
      <w:r>
        <w:t xml:space="preserve"> of </w:t>
      </w:r>
      <w:r w:rsidR="00A8441D">
        <w:t xml:space="preserve">a </w:t>
      </w:r>
      <w:r>
        <w:t>PSO are responsible for ensuring that adequate records of the business they conduct on behalf of the organisation are identified and captured in records management systems as soon as possible after creation or receipt of the record.</w:t>
      </w:r>
    </w:p>
    <w:p w14:paraId="25369313" w14:textId="438A223E" w:rsidR="005C07F4" w:rsidRDefault="005C07F4" w:rsidP="00B533D4">
      <w:pPr>
        <w:pStyle w:val="NumberedPara"/>
      </w:pPr>
      <w:r>
        <w:rPr>
          <w:lang w:val="en"/>
        </w:rPr>
        <w:t xml:space="preserve">All </w:t>
      </w:r>
      <w:r w:rsidR="00BB7389">
        <w:rPr>
          <w:lang w:val="en"/>
        </w:rPr>
        <w:t>personnel</w:t>
      </w:r>
      <w:r>
        <w:rPr>
          <w:lang w:val="en"/>
        </w:rPr>
        <w:t xml:space="preserve"> are responsible for the security and integrity of the records and information they handle in their duties as an NTG employee</w:t>
      </w:r>
      <w:r w:rsidR="00F929D2">
        <w:rPr>
          <w:lang w:val="en"/>
        </w:rPr>
        <w:t>.</w:t>
      </w:r>
      <w:r>
        <w:rPr>
          <w:rStyle w:val="FootnoteReference"/>
          <w:lang w:val="en"/>
        </w:rPr>
        <w:footnoteReference w:id="5"/>
      </w:r>
    </w:p>
    <w:p w14:paraId="39B4FE18" w14:textId="388A0EAB" w:rsidR="00A8441D" w:rsidRDefault="005C07F4" w:rsidP="009B6238">
      <w:pPr>
        <w:pStyle w:val="Heading1"/>
      </w:pPr>
      <w:bookmarkStart w:id="48" w:name="_Toc475034150"/>
      <w:bookmarkStart w:id="49" w:name="_Toc475034417"/>
      <w:bookmarkStart w:id="50" w:name="_Toc475034679"/>
      <w:bookmarkStart w:id="51" w:name="_Toc475034151"/>
      <w:bookmarkStart w:id="52" w:name="_Toc475034418"/>
      <w:bookmarkStart w:id="53" w:name="_Toc475034680"/>
      <w:bookmarkStart w:id="54" w:name="_Toc475034152"/>
      <w:bookmarkStart w:id="55" w:name="_Toc475034419"/>
      <w:bookmarkStart w:id="56" w:name="_Toc475034681"/>
      <w:bookmarkStart w:id="57" w:name="_Toc475034153"/>
      <w:bookmarkStart w:id="58" w:name="_Toc475034420"/>
      <w:bookmarkStart w:id="59" w:name="_Toc475034682"/>
      <w:bookmarkStart w:id="60" w:name="_Toc475034154"/>
      <w:bookmarkStart w:id="61" w:name="_Toc475034421"/>
      <w:bookmarkStart w:id="62" w:name="_Toc475034683"/>
      <w:bookmarkStart w:id="63" w:name="_Toc475034155"/>
      <w:bookmarkStart w:id="64" w:name="_Toc475034422"/>
      <w:bookmarkStart w:id="65" w:name="_Toc475034684"/>
      <w:bookmarkStart w:id="66" w:name="_Toc475034156"/>
      <w:bookmarkStart w:id="67" w:name="_Toc475034423"/>
      <w:bookmarkStart w:id="68" w:name="_Toc475034685"/>
      <w:bookmarkStart w:id="69" w:name="_Toc475034157"/>
      <w:bookmarkStart w:id="70" w:name="_Toc475034424"/>
      <w:bookmarkStart w:id="71" w:name="_Toc475034686"/>
      <w:bookmarkStart w:id="72" w:name="_Toc475034158"/>
      <w:bookmarkStart w:id="73" w:name="_Toc475034425"/>
      <w:bookmarkStart w:id="74" w:name="_Toc475034687"/>
      <w:bookmarkStart w:id="75" w:name="_Toc475034159"/>
      <w:bookmarkStart w:id="76" w:name="_Toc475034426"/>
      <w:bookmarkStart w:id="77" w:name="_Toc475034688"/>
      <w:bookmarkStart w:id="78" w:name="_Toc475034160"/>
      <w:bookmarkStart w:id="79" w:name="_Toc475034427"/>
      <w:bookmarkStart w:id="80" w:name="_Toc475034689"/>
      <w:bookmarkStart w:id="81" w:name="_Toc475034161"/>
      <w:bookmarkStart w:id="82" w:name="_Toc475034428"/>
      <w:bookmarkStart w:id="83" w:name="_Toc475034690"/>
      <w:bookmarkStart w:id="84" w:name="_Toc475034201"/>
      <w:bookmarkStart w:id="85" w:name="_Toc475034468"/>
      <w:bookmarkStart w:id="86" w:name="_Toc475034730"/>
      <w:bookmarkStart w:id="87" w:name="_Toc506462935"/>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t>S</w:t>
      </w:r>
      <w:r w:rsidR="00A8441D">
        <w:t>tandards</w:t>
      </w:r>
      <w:bookmarkEnd w:id="87"/>
    </w:p>
    <w:p w14:paraId="6F84AF6A" w14:textId="3E9D0D44" w:rsidR="003B6A83" w:rsidRDefault="00062A78" w:rsidP="00B46882">
      <w:pPr>
        <w:pStyle w:val="Heading2"/>
      </w:pPr>
      <w:bookmarkStart w:id="88" w:name="_Toc506462936"/>
      <w:r>
        <w:t>Governance</w:t>
      </w:r>
      <w:bookmarkEnd w:id="88"/>
    </w:p>
    <w:p w14:paraId="504A6766" w14:textId="77777777" w:rsidR="00A44226" w:rsidRPr="009B6238" w:rsidRDefault="00A44226" w:rsidP="00B46882">
      <w:pPr>
        <w:pStyle w:val="Heading3"/>
      </w:pPr>
      <w:bookmarkStart w:id="89" w:name="_Toc506462937"/>
      <w:r w:rsidRPr="009B6238">
        <w:t xml:space="preserve">Governance </w:t>
      </w:r>
      <w:r w:rsidR="001D21D4">
        <w:t>f</w:t>
      </w:r>
      <w:r w:rsidRPr="009B6238">
        <w:t>ramework</w:t>
      </w:r>
      <w:bookmarkEnd w:id="89"/>
    </w:p>
    <w:p w14:paraId="516D917D" w14:textId="20B94783" w:rsidR="005C07F4" w:rsidRPr="006C58BE" w:rsidRDefault="00DB78C5" w:rsidP="00F076B1">
      <w:pPr>
        <w:pStyle w:val="RuleStatement"/>
      </w:pPr>
      <w:r>
        <w:t>6.1.1.1</w:t>
      </w:r>
      <w:r>
        <w:tab/>
      </w:r>
      <w:bookmarkStart w:id="90" w:name="_Toc475034472"/>
      <w:bookmarkStart w:id="91" w:name="_Toc475034734"/>
      <w:r w:rsidR="005C07F4" w:rsidRPr="006C58BE">
        <w:t xml:space="preserve">PSOs must </w:t>
      </w:r>
      <w:r w:rsidR="005C07F4" w:rsidRPr="00B15095">
        <w:t>establish</w:t>
      </w:r>
      <w:r w:rsidR="005C07F4" w:rsidRPr="006C58BE">
        <w:t xml:space="preserve"> governance frameworks to ensure records and information </w:t>
      </w:r>
      <w:r w:rsidR="005C07F4" w:rsidRPr="00B15095">
        <w:t>are</w:t>
      </w:r>
      <w:r w:rsidR="005C07F4" w:rsidRPr="006C58BE">
        <w:t xml:space="preserve"> managed in accordance with the requirements of the regulatory environment in which the PSO operates.</w:t>
      </w:r>
      <w:bookmarkEnd w:id="90"/>
      <w:bookmarkEnd w:id="91"/>
    </w:p>
    <w:p w14:paraId="737355A7" w14:textId="77777777" w:rsidR="00BF4DCB" w:rsidRDefault="00062A78" w:rsidP="0074582B">
      <w:pPr>
        <w:pStyle w:val="NumberedPara"/>
        <w:numPr>
          <w:ilvl w:val="0"/>
          <w:numId w:val="9"/>
        </w:numPr>
      </w:pPr>
      <w:r w:rsidRPr="00B533D4">
        <w:rPr>
          <w:lang w:val="en"/>
        </w:rPr>
        <w:t xml:space="preserve">The regulatory environment </w:t>
      </w:r>
      <w:r w:rsidR="00E35590" w:rsidRPr="00B533D4">
        <w:rPr>
          <w:lang w:val="en"/>
        </w:rPr>
        <w:t xml:space="preserve">can </w:t>
      </w:r>
      <w:r w:rsidRPr="00B533D4">
        <w:rPr>
          <w:lang w:val="en"/>
        </w:rPr>
        <w:t>consist of</w:t>
      </w:r>
      <w:r w:rsidR="00E35590" w:rsidRPr="00B533D4">
        <w:rPr>
          <w:lang w:val="en"/>
        </w:rPr>
        <w:t xml:space="preserve"> l</w:t>
      </w:r>
      <w:r w:rsidRPr="00B533D4">
        <w:rPr>
          <w:lang w:val="en"/>
        </w:rPr>
        <w:t>egislation and regulations</w:t>
      </w:r>
      <w:r w:rsidR="00E35590" w:rsidRPr="00B533D4">
        <w:rPr>
          <w:lang w:val="en"/>
        </w:rPr>
        <w:t>; m</w:t>
      </w:r>
      <w:r w:rsidRPr="00B533D4">
        <w:rPr>
          <w:lang w:val="en"/>
        </w:rPr>
        <w:t>andatory standards of</w:t>
      </w:r>
      <w:r>
        <w:t xml:space="preserve"> practice</w:t>
      </w:r>
      <w:r w:rsidR="00E35590">
        <w:t>; v</w:t>
      </w:r>
      <w:r>
        <w:t>oluntary codes of practice</w:t>
      </w:r>
      <w:r w:rsidR="00E35590">
        <w:t xml:space="preserve">; </w:t>
      </w:r>
      <w:r w:rsidR="00F929D2">
        <w:t xml:space="preserve">and </w:t>
      </w:r>
      <w:r w:rsidR="00E35590">
        <w:t>co</w:t>
      </w:r>
      <w:r>
        <w:t>mmunity expectations regarding sector specific accountability and organisational behaviour</w:t>
      </w:r>
      <w:r w:rsidR="00E35590">
        <w:t>.</w:t>
      </w:r>
    </w:p>
    <w:p w14:paraId="2AA9E16E" w14:textId="255083E9" w:rsidR="008403BF" w:rsidRDefault="008039AB" w:rsidP="0074582B">
      <w:pPr>
        <w:pStyle w:val="NumberedPara"/>
        <w:numPr>
          <w:ilvl w:val="0"/>
          <w:numId w:val="9"/>
        </w:numPr>
      </w:pPr>
      <w:r>
        <w:t>A risk management approach should be taken to allow the sharing and re-use o</w:t>
      </w:r>
      <w:r w:rsidR="00966E27">
        <w:t>f</w:t>
      </w:r>
      <w:r>
        <w:t xml:space="preserve"> records and information within government, the community and industry.</w:t>
      </w:r>
    </w:p>
    <w:p w14:paraId="5239F2E1" w14:textId="77777777" w:rsidR="00146233" w:rsidRDefault="00146233" w:rsidP="0074582B">
      <w:pPr>
        <w:pStyle w:val="NumberedPara"/>
        <w:numPr>
          <w:ilvl w:val="0"/>
          <w:numId w:val="9"/>
        </w:numPr>
      </w:pPr>
      <w:r>
        <w:t>Records and information management processes and systems should be regularly monitored and reviewed to ensure compliance with business needs and the regulatory environment.</w:t>
      </w:r>
    </w:p>
    <w:p w14:paraId="14278B3E" w14:textId="38A3D43B" w:rsidR="00F929D2" w:rsidRDefault="00F929D2" w:rsidP="0074582B">
      <w:pPr>
        <w:pStyle w:val="NumberedPara"/>
        <w:numPr>
          <w:ilvl w:val="0"/>
          <w:numId w:val="9"/>
        </w:numPr>
      </w:pPr>
      <w:r>
        <w:t>Records and information are managed in a manner which preserves their evidential integrity through system migrations and machinery of government changes.</w:t>
      </w:r>
    </w:p>
    <w:p w14:paraId="6DF94B39" w14:textId="00058AFD" w:rsidR="00146233" w:rsidRDefault="00DB78C5" w:rsidP="00F076B1">
      <w:pPr>
        <w:pStyle w:val="RuleStatement"/>
      </w:pPr>
      <w:bookmarkStart w:id="92" w:name="_Toc475034473"/>
      <w:bookmarkStart w:id="93" w:name="_Toc475034735"/>
      <w:r>
        <w:t>6.1.1.2</w:t>
      </w:r>
      <w:r>
        <w:tab/>
      </w:r>
      <w:r w:rsidR="00146233" w:rsidRPr="00175A61">
        <w:t xml:space="preserve">Records </w:t>
      </w:r>
      <w:r w:rsidR="00F929D2">
        <w:t xml:space="preserve">must </w:t>
      </w:r>
      <w:r w:rsidR="00146233" w:rsidRPr="00175A61">
        <w:t xml:space="preserve">document the complete range of business undertaken by </w:t>
      </w:r>
      <w:r w:rsidR="00146233">
        <w:t>the organisation.</w:t>
      </w:r>
      <w:bookmarkEnd w:id="92"/>
      <w:bookmarkEnd w:id="93"/>
    </w:p>
    <w:p w14:paraId="7D1892B8" w14:textId="77777777" w:rsidR="006C58BE" w:rsidRDefault="00AD0115" w:rsidP="00F076B1">
      <w:pPr>
        <w:pStyle w:val="RuleStatement"/>
      </w:pPr>
      <w:bookmarkStart w:id="94" w:name="_Toc475034474"/>
      <w:bookmarkStart w:id="95" w:name="_Toc475034736"/>
      <w:r>
        <w:t>6.1.1.3</w:t>
      </w:r>
      <w:r w:rsidR="00DB78C5">
        <w:tab/>
      </w:r>
      <w:r w:rsidR="006C58BE" w:rsidRPr="006C58BE">
        <w:t>A custodian must be identified as the responsible officer for the management of record and information assets.</w:t>
      </w:r>
      <w:bookmarkEnd w:id="94"/>
      <w:bookmarkEnd w:id="95"/>
    </w:p>
    <w:p w14:paraId="0CE4B66F" w14:textId="77777777" w:rsidR="009C00CA" w:rsidRPr="001B38B0" w:rsidRDefault="009C00CA" w:rsidP="00B46882">
      <w:pPr>
        <w:pStyle w:val="Heading3"/>
      </w:pPr>
      <w:bookmarkStart w:id="96" w:name="_Toc506462938"/>
      <w:r w:rsidRPr="00B46882">
        <w:lastRenderedPageBreak/>
        <w:t>Policies</w:t>
      </w:r>
      <w:r>
        <w:t xml:space="preserve"> and procedures</w:t>
      </w:r>
      <w:bookmarkEnd w:id="96"/>
    </w:p>
    <w:p w14:paraId="3D376DF5" w14:textId="367B6CFD" w:rsidR="009C00CA" w:rsidRPr="006C58BE" w:rsidRDefault="009C00CA" w:rsidP="00F076B1">
      <w:pPr>
        <w:pStyle w:val="RuleStatement"/>
      </w:pPr>
      <w:r>
        <w:t>6.1.</w:t>
      </w:r>
      <w:r w:rsidR="00967469">
        <w:t>2</w:t>
      </w:r>
      <w:r>
        <w:t>.1</w:t>
      </w:r>
      <w:r>
        <w:tab/>
      </w:r>
      <w:r w:rsidRPr="006C58BE">
        <w:t>The records governance framework must include the development and implementation of policies and procedures which control the creation, capture</w:t>
      </w:r>
      <w:r>
        <w:t>,</w:t>
      </w:r>
      <w:r w:rsidRPr="006C58BE">
        <w:t xml:space="preserve"> management </w:t>
      </w:r>
      <w:r>
        <w:t xml:space="preserve">and disposal </w:t>
      </w:r>
      <w:r w:rsidR="0002202F">
        <w:t>of records.</w:t>
      </w:r>
    </w:p>
    <w:p w14:paraId="12821B3C" w14:textId="77777777" w:rsidR="009C00CA" w:rsidRDefault="009C00CA" w:rsidP="0074582B">
      <w:pPr>
        <w:pStyle w:val="NumberedPara"/>
        <w:numPr>
          <w:ilvl w:val="0"/>
          <w:numId w:val="10"/>
        </w:numPr>
      </w:pPr>
      <w:r>
        <w:t>Records and information management policies and procedures are approved by the PSO Chief Executive Officer or appropriate delegate.</w:t>
      </w:r>
    </w:p>
    <w:p w14:paraId="245B8E5C" w14:textId="125AD4BB" w:rsidR="009C00CA" w:rsidRPr="00296D54" w:rsidRDefault="009C00CA" w:rsidP="0074582B">
      <w:pPr>
        <w:pStyle w:val="NumberedPara"/>
        <w:numPr>
          <w:ilvl w:val="0"/>
          <w:numId w:val="10"/>
        </w:numPr>
      </w:pPr>
      <w:r w:rsidRPr="00296D54">
        <w:t xml:space="preserve">Records management responsibilities are described, assigned and </w:t>
      </w:r>
      <w:r>
        <w:t>promoted</w:t>
      </w:r>
      <w:r w:rsidRPr="00296D54">
        <w:t xml:space="preserve"> to all </w:t>
      </w:r>
      <w:r>
        <w:t>personnel.</w:t>
      </w:r>
      <w:r w:rsidRPr="00296D54">
        <w:t xml:space="preserve"> </w:t>
      </w:r>
      <w:r>
        <w:t>Appropriate</w:t>
      </w:r>
      <w:r w:rsidRPr="00296D54">
        <w:t xml:space="preserve"> records management training</w:t>
      </w:r>
      <w:r>
        <w:t xml:space="preserve"> is provided to all Personnel</w:t>
      </w:r>
      <w:r w:rsidRPr="00296D54">
        <w:t>.</w:t>
      </w:r>
    </w:p>
    <w:p w14:paraId="677136C9" w14:textId="3E59868E" w:rsidR="009C00CA" w:rsidRDefault="009C00CA" w:rsidP="0074582B">
      <w:pPr>
        <w:pStyle w:val="NumberedPara"/>
        <w:numPr>
          <w:ilvl w:val="0"/>
          <w:numId w:val="10"/>
        </w:numPr>
      </w:pPr>
      <w:r w:rsidRPr="00296D54">
        <w:t xml:space="preserve">Records and information management requirements are integrated into standard operating procedures, systems and business practices to ensure records </w:t>
      </w:r>
      <w:r>
        <w:t xml:space="preserve">which meet the recordkeeping obligations of the organisation </w:t>
      </w:r>
      <w:r w:rsidRPr="00296D54">
        <w:t>are created in</w:t>
      </w:r>
      <w:r w:rsidR="0002202F">
        <w:t xml:space="preserve"> the normal course of business.</w:t>
      </w:r>
    </w:p>
    <w:p w14:paraId="7D4FB547" w14:textId="7E168718" w:rsidR="009C00CA" w:rsidRPr="00296D54" w:rsidRDefault="009C00CA" w:rsidP="0074582B">
      <w:pPr>
        <w:pStyle w:val="NumberedPara"/>
        <w:numPr>
          <w:ilvl w:val="0"/>
          <w:numId w:val="10"/>
        </w:numPr>
      </w:pPr>
      <w:r w:rsidRPr="00296D54">
        <w:t>Responsibility for ensuring that records and information management is integrated into work proce</w:t>
      </w:r>
      <w:r>
        <w:t xml:space="preserve">sses, systems, and services </w:t>
      </w:r>
      <w:r w:rsidRPr="00296D54">
        <w:t>is allocated to business owners</w:t>
      </w:r>
      <w:r>
        <w:t>,</w:t>
      </w:r>
      <w:r w:rsidRPr="00296D54">
        <w:t xml:space="preserve"> business units</w:t>
      </w:r>
      <w:r>
        <w:t xml:space="preserve"> and their managers</w:t>
      </w:r>
      <w:r w:rsidR="0002202F">
        <w:t>.</w:t>
      </w:r>
    </w:p>
    <w:p w14:paraId="75EA5316" w14:textId="79151D2B" w:rsidR="009C00CA" w:rsidRDefault="009C00CA" w:rsidP="00F076B1">
      <w:pPr>
        <w:pStyle w:val="RuleStatement"/>
      </w:pPr>
      <w:r>
        <w:t>6.1.</w:t>
      </w:r>
      <w:r w:rsidR="00967469">
        <w:t>2</w:t>
      </w:r>
      <w:r>
        <w:t>.2</w:t>
      </w:r>
      <w:r>
        <w:tab/>
        <w:t>Contractual arrangements which a PSO enters into must include records and information management requirements, with provision for any sub-contractors to be subject to the same, where the contractor handles NTG records.</w:t>
      </w:r>
    </w:p>
    <w:p w14:paraId="39825B38" w14:textId="456DEA51" w:rsidR="009C00CA" w:rsidRDefault="009C00CA" w:rsidP="0074582B">
      <w:pPr>
        <w:pStyle w:val="NumberedPara"/>
        <w:numPr>
          <w:ilvl w:val="0"/>
          <w:numId w:val="11"/>
        </w:numPr>
      </w:pPr>
      <w:r w:rsidRPr="006C58BE">
        <w:t xml:space="preserve">Agreements with service providers ensure full control and ownership by the NTG of any records or information for which a PSO is the responsible </w:t>
      </w:r>
      <w:r w:rsidR="0084388F">
        <w:t>organisation</w:t>
      </w:r>
      <w:r w:rsidRPr="006C58BE">
        <w:t>.</w:t>
      </w:r>
    </w:p>
    <w:p w14:paraId="58F2404B" w14:textId="77777777" w:rsidR="009C00CA" w:rsidRDefault="009C00CA" w:rsidP="0074582B">
      <w:pPr>
        <w:pStyle w:val="NumberedPara"/>
        <w:numPr>
          <w:ilvl w:val="0"/>
          <w:numId w:val="11"/>
        </w:numPr>
      </w:pPr>
      <w:r>
        <w:t>Agreements with service providers include provisions which establish management and handling conditions of NTG records and information.</w:t>
      </w:r>
    </w:p>
    <w:p w14:paraId="60996BFD" w14:textId="1CA67D81" w:rsidR="009C00CA" w:rsidRDefault="009C00CA" w:rsidP="00F076B1">
      <w:pPr>
        <w:pStyle w:val="RuleStatement"/>
      </w:pPr>
      <w:r>
        <w:t>6.1.</w:t>
      </w:r>
      <w:r w:rsidR="00967469">
        <w:t>2</w:t>
      </w:r>
      <w:r>
        <w:t>.3</w:t>
      </w:r>
      <w:r>
        <w:tab/>
        <w:t xml:space="preserve">All contractual arrangements which relate to the handling of personal information must hold contractors and sub-contractors to the Information Privacy Principles as defined by the </w:t>
      </w:r>
      <w:r w:rsidRPr="0002202F">
        <w:rPr>
          <w:i/>
        </w:rPr>
        <w:t>Information Act</w:t>
      </w:r>
      <w:r>
        <w:t>.</w:t>
      </w:r>
    </w:p>
    <w:p w14:paraId="79AC92A4" w14:textId="37468415" w:rsidR="009C00CA" w:rsidRDefault="009C00CA" w:rsidP="00F076B1">
      <w:pPr>
        <w:pStyle w:val="RuleStatement"/>
      </w:pPr>
      <w:r>
        <w:t>6.1.</w:t>
      </w:r>
      <w:r w:rsidR="00967469">
        <w:t>2</w:t>
      </w:r>
      <w:r>
        <w:t>.4</w:t>
      </w:r>
      <w:r>
        <w:tab/>
        <w:t xml:space="preserve">All contractual arrangements which relate to the handling of sensitive or security classified information must hold contractors and sub-contractors to the same security requirements that </w:t>
      </w:r>
      <w:r w:rsidR="00594307">
        <w:t>PSOs must adhere to.</w:t>
      </w:r>
    </w:p>
    <w:p w14:paraId="32C18C57" w14:textId="7812F07F" w:rsidR="00A44226" w:rsidRDefault="00A44226" w:rsidP="00B46882">
      <w:pPr>
        <w:pStyle w:val="Heading3"/>
      </w:pPr>
      <w:bookmarkStart w:id="97" w:name="_Toc506462939"/>
      <w:r>
        <w:t xml:space="preserve">Records </w:t>
      </w:r>
      <w:r w:rsidR="001D21D4">
        <w:t>m</w:t>
      </w:r>
      <w:r>
        <w:t>anagement systems</w:t>
      </w:r>
      <w:r w:rsidR="00E9229F">
        <w:t xml:space="preserve"> (RMS)</w:t>
      </w:r>
      <w:bookmarkEnd w:id="97"/>
    </w:p>
    <w:p w14:paraId="4631A3DF" w14:textId="5AE16D58" w:rsidR="00146233" w:rsidRDefault="00DB78C5" w:rsidP="00F076B1">
      <w:pPr>
        <w:pStyle w:val="RuleStatement"/>
      </w:pPr>
      <w:bookmarkStart w:id="98" w:name="_Toc475034476"/>
      <w:bookmarkStart w:id="99" w:name="_Toc475034738"/>
      <w:r>
        <w:t>6.1.</w:t>
      </w:r>
      <w:r w:rsidR="00967469">
        <w:t>3</w:t>
      </w:r>
      <w:r>
        <w:t>.1</w:t>
      </w:r>
      <w:r>
        <w:tab/>
      </w:r>
      <w:r w:rsidR="00146233">
        <w:t>A PSO</w:t>
      </w:r>
      <w:r w:rsidR="00146233" w:rsidRPr="001E6083">
        <w:t xml:space="preserve"> must capture </w:t>
      </w:r>
      <w:r w:rsidR="00355C3A">
        <w:t xml:space="preserve">and maintain </w:t>
      </w:r>
      <w:r w:rsidR="00146233" w:rsidRPr="001E6083">
        <w:t xml:space="preserve">records </w:t>
      </w:r>
      <w:r w:rsidR="00146233">
        <w:t xml:space="preserve">of its business </w:t>
      </w:r>
      <w:r w:rsidR="00146233" w:rsidRPr="001E6083">
        <w:t xml:space="preserve">into </w:t>
      </w:r>
      <w:r w:rsidR="00A95C9D">
        <w:t>RMS</w:t>
      </w:r>
      <w:r w:rsidR="00146233">
        <w:t xml:space="preserve"> and incorporate metadata </w:t>
      </w:r>
      <w:r w:rsidR="00BF0E9D">
        <w:t>with the record at the time of the activity or shortly afterwards</w:t>
      </w:r>
      <w:r w:rsidR="00146233">
        <w:t>.</w:t>
      </w:r>
      <w:bookmarkEnd w:id="98"/>
      <w:bookmarkEnd w:id="99"/>
    </w:p>
    <w:p w14:paraId="796879AD" w14:textId="1866CD6A" w:rsidR="00A44226" w:rsidRDefault="00296D54" w:rsidP="0074582B">
      <w:pPr>
        <w:pStyle w:val="NumberedPara"/>
        <w:numPr>
          <w:ilvl w:val="0"/>
          <w:numId w:val="12"/>
        </w:numPr>
      </w:pPr>
      <w:r>
        <w:t xml:space="preserve">RMS </w:t>
      </w:r>
      <w:r w:rsidR="00A44226" w:rsidRPr="00A44226">
        <w:t>may incorporate a combination of automated and manual systems. These systems may be centralised or decentralised.</w:t>
      </w:r>
    </w:p>
    <w:p w14:paraId="3810CF9E" w14:textId="3777408B" w:rsidR="00FE3213" w:rsidRDefault="00296D54" w:rsidP="0074582B">
      <w:pPr>
        <w:pStyle w:val="NumberedPara"/>
        <w:numPr>
          <w:ilvl w:val="0"/>
          <w:numId w:val="12"/>
        </w:numPr>
      </w:pPr>
      <w:r>
        <w:t xml:space="preserve">RMS </w:t>
      </w:r>
      <w:r w:rsidR="00BF01AF">
        <w:t>are</w:t>
      </w:r>
      <w:r w:rsidR="00FE3213" w:rsidRPr="00FE3213">
        <w:t xml:space="preserve"> capable of using and supplying metadata to manage records in an accountable and effective way</w:t>
      </w:r>
      <w:r>
        <w:t xml:space="preserve">, regardless of the </w:t>
      </w:r>
      <w:r w:rsidRPr="00FE3213">
        <w:t xml:space="preserve">system or combination of systems </w:t>
      </w:r>
      <w:r w:rsidR="00AA40F3">
        <w:t>being</w:t>
      </w:r>
      <w:r w:rsidRPr="00FE3213">
        <w:t xml:space="preserve"> used</w:t>
      </w:r>
      <w:r w:rsidR="008C1EDA">
        <w:t xml:space="preserve">, including details of </w:t>
      </w:r>
      <w:r w:rsidR="0084388F">
        <w:t>hard-copy</w:t>
      </w:r>
      <w:r w:rsidR="008C1EDA">
        <w:t xml:space="preserve"> records</w:t>
      </w:r>
      <w:r w:rsidR="00FE3213" w:rsidRPr="00FE3213">
        <w:t>.</w:t>
      </w:r>
    </w:p>
    <w:p w14:paraId="6F6E304B" w14:textId="77777777" w:rsidR="0002202F" w:rsidRPr="0002202F" w:rsidRDefault="0002202F" w:rsidP="0002202F">
      <w:r w:rsidRPr="0002202F">
        <w:br w:type="page"/>
      </w:r>
    </w:p>
    <w:p w14:paraId="1D260EC7" w14:textId="77777777" w:rsidR="0002202F" w:rsidRDefault="00AD0115" w:rsidP="00F076B1">
      <w:pPr>
        <w:pStyle w:val="RuleStatement"/>
      </w:pPr>
      <w:r>
        <w:lastRenderedPageBreak/>
        <w:t>6.1.</w:t>
      </w:r>
      <w:r w:rsidR="00967469">
        <w:t>3</w:t>
      </w:r>
      <w:r>
        <w:t>.2</w:t>
      </w:r>
      <w:r>
        <w:tab/>
      </w:r>
      <w:r w:rsidR="00A44226" w:rsidRPr="00A44226">
        <w:t xml:space="preserve">Disaster recovery and other back-up systems are not </w:t>
      </w:r>
      <w:r w:rsidR="00E9229F">
        <w:t>RMS</w:t>
      </w:r>
      <w:r w:rsidR="00A44226" w:rsidRPr="00A44226">
        <w:t xml:space="preserve"> and </w:t>
      </w:r>
      <w:r>
        <w:t>must</w:t>
      </w:r>
      <w:r w:rsidR="00A44226" w:rsidRPr="00A44226">
        <w:t xml:space="preserve"> not be used or relied on to provide evidence of the activities or operations of an organisation.</w:t>
      </w:r>
      <w:bookmarkStart w:id="100" w:name="_Toc475034477"/>
      <w:bookmarkStart w:id="101" w:name="_Toc475034739"/>
    </w:p>
    <w:p w14:paraId="4EC425DD" w14:textId="5811B82A" w:rsidR="00FE3213" w:rsidRDefault="00DB78C5" w:rsidP="00F076B1">
      <w:pPr>
        <w:pStyle w:val="RuleStatement"/>
      </w:pPr>
      <w:r>
        <w:t>6.1.</w:t>
      </w:r>
      <w:r w:rsidR="00967469">
        <w:t>3</w:t>
      </w:r>
      <w:r>
        <w:t>.</w:t>
      </w:r>
      <w:r w:rsidR="00AD0115">
        <w:t>3</w:t>
      </w:r>
      <w:r>
        <w:tab/>
      </w:r>
      <w:r w:rsidR="00FE3213" w:rsidRPr="00FE3213">
        <w:t xml:space="preserve">The organisation </w:t>
      </w:r>
      <w:r w:rsidR="002F4E14">
        <w:t>must</w:t>
      </w:r>
      <w:r w:rsidR="00FE3213" w:rsidRPr="00FE3213">
        <w:t xml:space="preserve"> define minimum metadata requirements for the capture and management of its records appropriate to the regulatory, business or industry environment in which it operates</w:t>
      </w:r>
      <w:r w:rsidR="00FE3213">
        <w:t>.</w:t>
      </w:r>
      <w:bookmarkEnd w:id="100"/>
      <w:bookmarkEnd w:id="101"/>
      <w:r w:rsidR="0064264B">
        <w:rPr>
          <w:rStyle w:val="FootnoteReference"/>
        </w:rPr>
        <w:footnoteReference w:id="6"/>
      </w:r>
    </w:p>
    <w:p w14:paraId="55ED71BD" w14:textId="54F95979" w:rsidR="00B0613B" w:rsidRDefault="00B0613B" w:rsidP="0074582B">
      <w:pPr>
        <w:pStyle w:val="NumberedPara"/>
        <w:numPr>
          <w:ilvl w:val="0"/>
          <w:numId w:val="13"/>
        </w:numPr>
        <w:spacing w:before="0" w:after="180"/>
      </w:pPr>
      <w:r w:rsidRPr="002F4E14">
        <w:t xml:space="preserve">Business systems being used as </w:t>
      </w:r>
      <w:r w:rsidR="00951115">
        <w:t>RMS</w:t>
      </w:r>
      <w:r w:rsidRPr="002F4E14">
        <w:t xml:space="preserve"> </w:t>
      </w:r>
      <w:r w:rsidR="00D670F0">
        <w:t xml:space="preserve">should </w:t>
      </w:r>
      <w:r w:rsidRPr="002F4E14">
        <w:t>be designed to capture relevant metadata</w:t>
      </w:r>
      <w:r w:rsidR="00D670F0">
        <w:t xml:space="preserve"> automatically</w:t>
      </w:r>
      <w:r w:rsidRPr="002F4E14">
        <w:t>.</w:t>
      </w:r>
    </w:p>
    <w:p w14:paraId="1131536D" w14:textId="7CEA6BD7" w:rsidR="00FE3213" w:rsidRPr="006B464F" w:rsidRDefault="00F929D2" w:rsidP="0074582B">
      <w:pPr>
        <w:pStyle w:val="NumberedPara"/>
        <w:numPr>
          <w:ilvl w:val="0"/>
          <w:numId w:val="13"/>
        </w:numPr>
        <w:spacing w:before="0" w:after="180"/>
      </w:pPr>
      <w:r w:rsidRPr="00F929D2">
        <w:t>Metadata</w:t>
      </w:r>
      <w:r w:rsidRPr="00941BA7">
        <w:t xml:space="preserve"> is </w:t>
      </w:r>
      <w:r>
        <w:t>properly managed</w:t>
      </w:r>
      <w:r w:rsidRPr="00941BA7">
        <w:t xml:space="preserve"> and preserved over time</w:t>
      </w:r>
      <w:r>
        <w:t xml:space="preserve">, including </w:t>
      </w:r>
      <w:r w:rsidRPr="00941BA7">
        <w:t>through system changes</w:t>
      </w:r>
      <w:r w:rsidR="002E154C">
        <w:t>,</w:t>
      </w:r>
      <w:r w:rsidRPr="00941BA7">
        <w:t xml:space="preserve"> upgrades</w:t>
      </w:r>
      <w:r w:rsidR="002E154C">
        <w:t xml:space="preserve"> and decommissioning</w:t>
      </w:r>
      <w:r w:rsidR="006B464F">
        <w:t>.</w:t>
      </w:r>
    </w:p>
    <w:p w14:paraId="1E99508C" w14:textId="2329E563" w:rsidR="00A44226" w:rsidRDefault="00DB78C5" w:rsidP="00F076B1">
      <w:pPr>
        <w:pStyle w:val="RuleStatement"/>
      </w:pPr>
      <w:bookmarkStart w:id="102" w:name="_Toc475034478"/>
      <w:bookmarkStart w:id="103" w:name="_Toc475034740"/>
      <w:r>
        <w:t>6.1.</w:t>
      </w:r>
      <w:r w:rsidR="00967469">
        <w:t>3</w:t>
      </w:r>
      <w:r>
        <w:t>.</w:t>
      </w:r>
      <w:r w:rsidR="00AD0115">
        <w:t>4</w:t>
      </w:r>
      <w:r>
        <w:tab/>
      </w:r>
      <w:r w:rsidR="00594307">
        <w:t>RMS</w:t>
      </w:r>
      <w:r w:rsidR="00A44226" w:rsidRPr="00F929D2">
        <w:t xml:space="preserve"> must have documented policies, assigned responsibilities and</w:t>
      </w:r>
      <w:r w:rsidR="00A44226" w:rsidRPr="00A44226">
        <w:t xml:space="preserve"> formal methodologies for </w:t>
      </w:r>
      <w:r w:rsidR="00594307">
        <w:t>their</w:t>
      </w:r>
      <w:r w:rsidR="00A44226" w:rsidRPr="00A44226">
        <w:t xml:space="preserve"> management</w:t>
      </w:r>
      <w:r w:rsidR="00FE3213">
        <w:t>.</w:t>
      </w:r>
      <w:bookmarkEnd w:id="102"/>
      <w:bookmarkEnd w:id="103"/>
    </w:p>
    <w:p w14:paraId="7AB3C141" w14:textId="21D2D704" w:rsidR="002722D0" w:rsidRDefault="002722D0" w:rsidP="0074582B">
      <w:pPr>
        <w:pStyle w:val="NumberedPara"/>
        <w:numPr>
          <w:ilvl w:val="0"/>
          <w:numId w:val="14"/>
        </w:numPr>
        <w:spacing w:before="0" w:after="180"/>
      </w:pPr>
      <w:r>
        <w:t xml:space="preserve">Compliant </w:t>
      </w:r>
      <w:r w:rsidR="00951115">
        <w:t>RMS</w:t>
      </w:r>
      <w:r>
        <w:t xml:space="preserve"> are managed to meet all requirements of the regulatory environment and arising from business and stakeholder expectations.</w:t>
      </w:r>
    </w:p>
    <w:p w14:paraId="5D09D5DE" w14:textId="0CD17640" w:rsidR="00A44226" w:rsidRDefault="005A47DD" w:rsidP="00F076B1">
      <w:pPr>
        <w:pStyle w:val="RuleStatement"/>
      </w:pPr>
      <w:r>
        <w:t>6.1.</w:t>
      </w:r>
      <w:r w:rsidR="00967469">
        <w:t>3</w:t>
      </w:r>
      <w:r>
        <w:t>.</w:t>
      </w:r>
      <w:r w:rsidR="00AD0115">
        <w:t>5</w:t>
      </w:r>
      <w:r>
        <w:tab/>
      </w:r>
      <w:r w:rsidR="00E9229F">
        <w:t>RMS</w:t>
      </w:r>
      <w:r w:rsidR="00802948" w:rsidRPr="00802948">
        <w:t xml:space="preserve"> must not allow unauthorised modifications to any records (including metadata), and where authorised modifications are performed, they must be fully documented.</w:t>
      </w:r>
    </w:p>
    <w:p w14:paraId="11E83B10" w14:textId="3AD31539" w:rsidR="00F929D2" w:rsidRDefault="00AD0115" w:rsidP="00F076B1">
      <w:pPr>
        <w:pStyle w:val="RuleStatement"/>
      </w:pPr>
      <w:bookmarkStart w:id="104" w:name="_Toc475034479"/>
      <w:bookmarkStart w:id="105" w:name="_Toc475034741"/>
      <w:r>
        <w:t>6.1.</w:t>
      </w:r>
      <w:r w:rsidR="00967469">
        <w:t>3</w:t>
      </w:r>
      <w:r>
        <w:t>.6</w:t>
      </w:r>
      <w:r w:rsidR="00DB78C5">
        <w:tab/>
      </w:r>
      <w:r w:rsidR="00F929D2">
        <w:t xml:space="preserve">When </w:t>
      </w:r>
      <w:r w:rsidR="00C03567">
        <w:t>decommissioning</w:t>
      </w:r>
      <w:r w:rsidR="00F929D2">
        <w:t xml:space="preserve"> or upgrading </w:t>
      </w:r>
      <w:r w:rsidR="00E9229F">
        <w:t>RMS</w:t>
      </w:r>
      <w:r w:rsidR="00F929D2">
        <w:t xml:space="preserve"> a PSO must develop a strategy for the extraction and preservation of records in an appropriate format for migration or storage for later extraction.</w:t>
      </w:r>
      <w:bookmarkEnd w:id="104"/>
      <w:bookmarkEnd w:id="105"/>
    </w:p>
    <w:p w14:paraId="152E8631" w14:textId="283D370E" w:rsidR="00F929D2" w:rsidRDefault="00F929D2" w:rsidP="0074582B">
      <w:pPr>
        <w:pStyle w:val="NumberedPara"/>
        <w:numPr>
          <w:ilvl w:val="0"/>
          <w:numId w:val="15"/>
        </w:numPr>
        <w:spacing w:before="0" w:after="180"/>
      </w:pPr>
      <w:r w:rsidRPr="008C22CE">
        <w:t>System upgrades need to be planned and implemented methodically to safeguard the retention and usability of records for the full period of time they need to be retained</w:t>
      </w:r>
      <w:r w:rsidR="00C03567">
        <w:t>.</w:t>
      </w:r>
    </w:p>
    <w:p w14:paraId="34DED42D" w14:textId="5190EB4C" w:rsidR="008C22CE" w:rsidRDefault="008C22CE" w:rsidP="0074582B">
      <w:pPr>
        <w:pStyle w:val="NumberedPara"/>
        <w:numPr>
          <w:ilvl w:val="0"/>
          <w:numId w:val="15"/>
        </w:numPr>
        <w:spacing w:before="0" w:after="180"/>
      </w:pPr>
      <w:r w:rsidRPr="008C22CE">
        <w:t>It is important to properly plan and test migration processes for records requiring long-term retention to mitigate the effects</w:t>
      </w:r>
      <w:r w:rsidR="0002202F">
        <w:t xml:space="preserve"> of technological obsolescence.</w:t>
      </w:r>
    </w:p>
    <w:p w14:paraId="637E9C09" w14:textId="3A7FC590" w:rsidR="00296D54" w:rsidRDefault="00606F52" w:rsidP="00F076B1">
      <w:pPr>
        <w:pStyle w:val="RuleStatement"/>
      </w:pPr>
      <w:bookmarkStart w:id="106" w:name="_Toc475034480"/>
      <w:bookmarkStart w:id="107" w:name="_Toc475034742"/>
      <w:r>
        <w:t>6.1.</w:t>
      </w:r>
      <w:r w:rsidR="00967469">
        <w:t>3</w:t>
      </w:r>
      <w:r>
        <w:t>.</w:t>
      </w:r>
      <w:r w:rsidR="00AD0115">
        <w:t>7</w:t>
      </w:r>
      <w:r w:rsidR="00DB78C5">
        <w:tab/>
      </w:r>
      <w:r w:rsidR="00296D54">
        <w:t xml:space="preserve">The RMS </w:t>
      </w:r>
      <w:r w:rsidR="00F1588B">
        <w:t>must</w:t>
      </w:r>
      <w:r w:rsidR="00296D54">
        <w:t xml:space="preserve"> incorporate business rules that avoid duplication of records.</w:t>
      </w:r>
      <w:bookmarkEnd w:id="106"/>
      <w:bookmarkEnd w:id="107"/>
    </w:p>
    <w:p w14:paraId="08CFCAC9" w14:textId="5CE42394" w:rsidR="00C36417" w:rsidRDefault="00606F52" w:rsidP="00F076B1">
      <w:pPr>
        <w:pStyle w:val="RuleStatement"/>
      </w:pPr>
      <w:bookmarkStart w:id="108" w:name="_Toc475034481"/>
      <w:bookmarkStart w:id="109" w:name="_Toc475034743"/>
      <w:r>
        <w:t>6.1.</w:t>
      </w:r>
      <w:r w:rsidR="00967469">
        <w:t>3</w:t>
      </w:r>
      <w:r>
        <w:t>.</w:t>
      </w:r>
      <w:r w:rsidR="00AD0115">
        <w:t>8</w:t>
      </w:r>
      <w:r w:rsidR="00DB78C5">
        <w:tab/>
      </w:r>
      <w:r w:rsidR="00C36417" w:rsidRPr="00146233">
        <w:t>Recordkeeping must occur in all environments in which the organisation carries out its business.</w:t>
      </w:r>
      <w:bookmarkEnd w:id="108"/>
      <w:bookmarkEnd w:id="109"/>
    </w:p>
    <w:p w14:paraId="26A32822" w14:textId="6858E3EC" w:rsidR="00941BA7" w:rsidRDefault="00A44226" w:rsidP="0074582B">
      <w:pPr>
        <w:pStyle w:val="NumberedPara"/>
        <w:numPr>
          <w:ilvl w:val="0"/>
          <w:numId w:val="16"/>
        </w:numPr>
        <w:spacing w:before="0" w:after="180"/>
      </w:pPr>
      <w:r>
        <w:t xml:space="preserve">Business systems which hold the only evidence or record of the business activity they transact </w:t>
      </w:r>
      <w:r w:rsidR="00662C66">
        <w:t>should be</w:t>
      </w:r>
      <w:r>
        <w:t xml:space="preserve"> considered a records management system for the purposes of this standard and be managed as a record</w:t>
      </w:r>
      <w:r w:rsidR="00876840">
        <w:t>s management</w:t>
      </w:r>
      <w:r w:rsidR="0002202F">
        <w:t xml:space="preserve"> system.</w:t>
      </w:r>
    </w:p>
    <w:p w14:paraId="5C477325" w14:textId="3094B79A" w:rsidR="00F929D2" w:rsidRDefault="00606F52" w:rsidP="00F076B1">
      <w:pPr>
        <w:pStyle w:val="RuleStatement"/>
      </w:pPr>
      <w:bookmarkStart w:id="110" w:name="_Toc475034482"/>
      <w:bookmarkStart w:id="111" w:name="_Toc475034744"/>
      <w:r>
        <w:t>6.1.</w:t>
      </w:r>
      <w:r w:rsidR="00967469">
        <w:t>3</w:t>
      </w:r>
      <w:r>
        <w:t>.</w:t>
      </w:r>
      <w:r w:rsidR="00AD0115">
        <w:t>9</w:t>
      </w:r>
      <w:r w:rsidR="00DB78C5">
        <w:tab/>
      </w:r>
      <w:r w:rsidR="00F929D2">
        <w:t xml:space="preserve">PSOs </w:t>
      </w:r>
      <w:r w:rsidR="00107EBA">
        <w:t>must</w:t>
      </w:r>
      <w:r w:rsidR="00F929D2" w:rsidRPr="00FE3213">
        <w:t xml:space="preserve"> assess and document</w:t>
      </w:r>
      <w:r w:rsidR="00F929D2">
        <w:t xml:space="preserve"> </w:t>
      </w:r>
      <w:r w:rsidR="00F929D2" w:rsidRPr="00FE3213">
        <w:t>existing business systems to address risk associated with any lack of recordkeeping functionality.</w:t>
      </w:r>
      <w:bookmarkEnd w:id="110"/>
      <w:bookmarkEnd w:id="111"/>
    </w:p>
    <w:p w14:paraId="3C1947A1" w14:textId="77777777" w:rsidR="00F929D2" w:rsidRDefault="00F929D2" w:rsidP="0074582B">
      <w:pPr>
        <w:pStyle w:val="NumberedPara"/>
        <w:numPr>
          <w:ilvl w:val="0"/>
          <w:numId w:val="17"/>
        </w:numPr>
        <w:spacing w:before="0" w:after="0"/>
      </w:pPr>
      <w:r>
        <w:t xml:space="preserve">Business systems, having been designed and built principally to automate a particular business </w:t>
      </w:r>
      <w:r>
        <w:lastRenderedPageBreak/>
        <w:t xml:space="preserve">process, may not </w:t>
      </w:r>
      <w:r w:rsidR="00EA3E3E">
        <w:t xml:space="preserve">have </w:t>
      </w:r>
      <w:r>
        <w:t>all the functionality of a purpose built records management system.</w:t>
      </w:r>
      <w:r>
        <w:rPr>
          <w:rStyle w:val="FootnoteReference"/>
        </w:rPr>
        <w:footnoteReference w:id="7"/>
      </w:r>
    </w:p>
    <w:p w14:paraId="30DDC8A0" w14:textId="1778A717" w:rsidR="00EA3E3E" w:rsidRDefault="00722544" w:rsidP="0074582B">
      <w:pPr>
        <w:pStyle w:val="NumberedPara"/>
        <w:numPr>
          <w:ilvl w:val="0"/>
          <w:numId w:val="17"/>
        </w:numPr>
        <w:spacing w:before="0" w:after="180"/>
      </w:pPr>
      <w:r>
        <w:t>Records</w:t>
      </w:r>
      <w:r w:rsidR="00EA3E3E">
        <w:t xml:space="preserve"> held in b</w:t>
      </w:r>
      <w:r w:rsidR="00EA3E3E" w:rsidRPr="006F3FEF">
        <w:t xml:space="preserve">usiness systems </w:t>
      </w:r>
      <w:r w:rsidR="00F1588B">
        <w:t>do not all have the same risk profiles</w:t>
      </w:r>
      <w:r w:rsidR="00EA3E3E">
        <w:t xml:space="preserve">. Business systems managing </w:t>
      </w:r>
      <w:r w:rsidR="00EA3E3E" w:rsidRPr="006F3FEF">
        <w:t>high-</w:t>
      </w:r>
      <w:r w:rsidR="006665CB">
        <w:t>value</w:t>
      </w:r>
      <w:r w:rsidR="00EA3E3E">
        <w:t>/</w:t>
      </w:r>
      <w:r w:rsidR="00EA3E3E" w:rsidRPr="006F3FEF">
        <w:t>high-</w:t>
      </w:r>
      <w:r w:rsidR="006665CB">
        <w:t>risk</w:t>
      </w:r>
      <w:r>
        <w:t xml:space="preserve"> records</w:t>
      </w:r>
      <w:r w:rsidR="00EA3E3E" w:rsidRPr="006F3FEF">
        <w:t xml:space="preserve"> </w:t>
      </w:r>
      <w:r w:rsidR="00EA3E3E">
        <w:t xml:space="preserve">should undergo a </w:t>
      </w:r>
      <w:r w:rsidR="00EA3E3E" w:rsidRPr="006F3FEF">
        <w:t xml:space="preserve">more extensive </w:t>
      </w:r>
      <w:r w:rsidR="00286DE2">
        <w:t xml:space="preserve">risk </w:t>
      </w:r>
      <w:r w:rsidR="00EA3E3E" w:rsidRPr="006F3FEF">
        <w:t xml:space="preserve">assessment than systems managing </w:t>
      </w:r>
      <w:r w:rsidR="006665CB">
        <w:t>low-value/</w:t>
      </w:r>
      <w:r w:rsidR="00EA3E3E" w:rsidRPr="006F3FEF">
        <w:t xml:space="preserve">low-risk </w:t>
      </w:r>
      <w:r>
        <w:t>records</w:t>
      </w:r>
      <w:r w:rsidR="00EA3E3E">
        <w:t>.</w:t>
      </w:r>
    </w:p>
    <w:p w14:paraId="4766737F" w14:textId="34352C66" w:rsidR="00802948" w:rsidRDefault="00606F52" w:rsidP="00D617C8">
      <w:pPr>
        <w:pStyle w:val="RuleStatement"/>
        <w:spacing w:before="0" w:after="180"/>
      </w:pPr>
      <w:bookmarkStart w:id="112" w:name="_Toc475034483"/>
      <w:bookmarkStart w:id="113" w:name="_Toc475034745"/>
      <w:r>
        <w:t>6.1.</w:t>
      </w:r>
      <w:r w:rsidR="00967469">
        <w:t>3</w:t>
      </w:r>
      <w:r>
        <w:t>.</w:t>
      </w:r>
      <w:r w:rsidR="00AD0115">
        <w:t>10</w:t>
      </w:r>
      <w:r w:rsidR="00DB78C5">
        <w:tab/>
      </w:r>
      <w:proofErr w:type="gramStart"/>
      <w:r w:rsidR="00824A3F">
        <w:t>When</w:t>
      </w:r>
      <w:proofErr w:type="gramEnd"/>
      <w:r w:rsidR="00824A3F">
        <w:t xml:space="preserve"> n</w:t>
      </w:r>
      <w:r w:rsidR="00A44226">
        <w:t>ew business systems are being designed and implemented, or existing systems upgraded, incorporation of record</w:t>
      </w:r>
      <w:r w:rsidR="00722544">
        <w:t>s management</w:t>
      </w:r>
      <w:r w:rsidR="00A44226">
        <w:t xml:space="preserve"> functionality must be considered.</w:t>
      </w:r>
      <w:bookmarkEnd w:id="112"/>
      <w:bookmarkEnd w:id="113"/>
    </w:p>
    <w:p w14:paraId="4069B304" w14:textId="77777777" w:rsidR="00A44226" w:rsidRDefault="00296D54" w:rsidP="0074582B">
      <w:pPr>
        <w:pStyle w:val="NumberedPara"/>
        <w:numPr>
          <w:ilvl w:val="0"/>
          <w:numId w:val="18"/>
        </w:numPr>
        <w:spacing w:before="0" w:after="180"/>
      </w:pPr>
      <w:r>
        <w:t>PSO</w:t>
      </w:r>
      <w:r w:rsidR="00A44226">
        <w:t xml:space="preserve"> Records Managers should be consulted to determine system recordkeeping requirements.</w:t>
      </w:r>
    </w:p>
    <w:p w14:paraId="32057F2A" w14:textId="77777777" w:rsidR="00A44226" w:rsidRDefault="00A44226" w:rsidP="0074582B">
      <w:pPr>
        <w:pStyle w:val="NumberedPara"/>
        <w:numPr>
          <w:ilvl w:val="0"/>
          <w:numId w:val="18"/>
        </w:numPr>
        <w:spacing w:before="0" w:after="180"/>
      </w:pPr>
      <w:r>
        <w:t xml:space="preserve">Risk assessment of the level of evidence required to properly document the transactions in the business system should be used to identify any opportunities to improve </w:t>
      </w:r>
      <w:r w:rsidR="006A450B">
        <w:t>record</w:t>
      </w:r>
      <w:r w:rsidR="00722544">
        <w:t>s management</w:t>
      </w:r>
      <w:r w:rsidR="006A450B">
        <w:t xml:space="preserve"> functionality</w:t>
      </w:r>
      <w:r w:rsidR="00802948">
        <w:t>.</w:t>
      </w:r>
    </w:p>
    <w:p w14:paraId="17EC3884" w14:textId="22115B07" w:rsidR="00941BA7" w:rsidRPr="0075728F" w:rsidRDefault="00606F52" w:rsidP="00D617C8">
      <w:pPr>
        <w:pStyle w:val="RuleStatement"/>
        <w:spacing w:before="0" w:after="180"/>
      </w:pPr>
      <w:bookmarkStart w:id="114" w:name="_Toc475034484"/>
      <w:bookmarkStart w:id="115" w:name="_Toc475034746"/>
      <w:r>
        <w:t>6.1.</w:t>
      </w:r>
      <w:r w:rsidR="00967469">
        <w:t>3</w:t>
      </w:r>
      <w:r>
        <w:t>.1</w:t>
      </w:r>
      <w:r w:rsidR="00AD0115">
        <w:t>1</w:t>
      </w:r>
      <w:r w:rsidR="00DB78C5">
        <w:tab/>
      </w:r>
      <w:r w:rsidR="000F3985">
        <w:t>RMS</w:t>
      </w:r>
      <w:r w:rsidR="00941BA7" w:rsidRPr="0075728F">
        <w:t xml:space="preserve"> </w:t>
      </w:r>
      <w:r w:rsidR="00305A79">
        <w:t>must</w:t>
      </w:r>
      <w:r w:rsidR="00941BA7" w:rsidRPr="0075728F">
        <w:t xml:space="preserve"> provide sufficient security for the long term storage </w:t>
      </w:r>
      <w:r w:rsidR="00941BA7">
        <w:t xml:space="preserve">and access </w:t>
      </w:r>
      <w:r w:rsidR="00941BA7" w:rsidRPr="0075728F">
        <w:t>of records.</w:t>
      </w:r>
      <w:bookmarkEnd w:id="114"/>
      <w:bookmarkEnd w:id="115"/>
    </w:p>
    <w:p w14:paraId="3E04943F" w14:textId="6F73B9F2" w:rsidR="00323866" w:rsidRDefault="00323866" w:rsidP="00D617C8">
      <w:pPr>
        <w:pStyle w:val="RuleStatement"/>
        <w:spacing w:before="0" w:after="180"/>
      </w:pPr>
      <w:r>
        <w:t>6.</w:t>
      </w:r>
      <w:r w:rsidR="00A43A04">
        <w:t>1</w:t>
      </w:r>
      <w:r>
        <w:t>.</w:t>
      </w:r>
      <w:r w:rsidR="00967469">
        <w:t>3</w:t>
      </w:r>
      <w:r>
        <w:t>.</w:t>
      </w:r>
      <w:r w:rsidR="00A43A04">
        <w:t>1</w:t>
      </w:r>
      <w:r w:rsidR="00AD0115">
        <w:t>2</w:t>
      </w:r>
      <w:r>
        <w:tab/>
      </w:r>
      <w:r w:rsidR="001C18FB">
        <w:t>R</w:t>
      </w:r>
      <w:r w:rsidR="000F3985">
        <w:t>MS</w:t>
      </w:r>
      <w:r w:rsidR="0084388F">
        <w:t xml:space="preserve"> holding high-value/high-risk records</w:t>
      </w:r>
      <w:r w:rsidR="001C18FB">
        <w:t xml:space="preserve"> must monitor and log access and event</w:t>
      </w:r>
      <w:r w:rsidR="00A93E19">
        <w:t xml:space="preserve"> history</w:t>
      </w:r>
      <w:r w:rsidR="001C18FB">
        <w:t>.</w:t>
      </w:r>
    </w:p>
    <w:p w14:paraId="06E3C6BB" w14:textId="77777777" w:rsidR="008403BF" w:rsidRDefault="008403BF" w:rsidP="00B46882">
      <w:pPr>
        <w:pStyle w:val="Heading2"/>
      </w:pPr>
      <w:bookmarkStart w:id="116" w:name="_Toc475034219"/>
      <w:bookmarkStart w:id="117" w:name="_Toc475034486"/>
      <w:bookmarkStart w:id="118" w:name="_Toc475034748"/>
      <w:bookmarkStart w:id="119" w:name="_Toc475034221"/>
      <w:bookmarkStart w:id="120" w:name="_Toc475034488"/>
      <w:bookmarkStart w:id="121" w:name="_Toc475034750"/>
      <w:bookmarkStart w:id="122" w:name="_Toc475034223"/>
      <w:bookmarkStart w:id="123" w:name="_Toc475034490"/>
      <w:bookmarkStart w:id="124" w:name="_Toc475034752"/>
      <w:bookmarkStart w:id="125" w:name="_Toc475034224"/>
      <w:bookmarkStart w:id="126" w:name="_Toc475034491"/>
      <w:bookmarkStart w:id="127" w:name="_Toc475034753"/>
      <w:bookmarkStart w:id="128" w:name="_Toc475034225"/>
      <w:bookmarkStart w:id="129" w:name="_Toc475034492"/>
      <w:bookmarkStart w:id="130" w:name="_Toc475034754"/>
      <w:bookmarkStart w:id="131" w:name="_Toc475034226"/>
      <w:bookmarkStart w:id="132" w:name="_Toc475034493"/>
      <w:bookmarkStart w:id="133" w:name="_Toc475034755"/>
      <w:bookmarkStart w:id="134" w:name="_Toc475034228"/>
      <w:bookmarkStart w:id="135" w:name="_Toc475034495"/>
      <w:bookmarkStart w:id="136" w:name="_Toc475034757"/>
      <w:bookmarkStart w:id="137" w:name="_Toc475034229"/>
      <w:bookmarkStart w:id="138" w:name="_Toc475034496"/>
      <w:bookmarkStart w:id="139" w:name="_Toc475034758"/>
      <w:bookmarkStart w:id="140" w:name="_Toc475034230"/>
      <w:bookmarkStart w:id="141" w:name="_Toc475034497"/>
      <w:bookmarkStart w:id="142" w:name="_Toc475034759"/>
      <w:bookmarkStart w:id="143" w:name="_Toc475034231"/>
      <w:bookmarkStart w:id="144" w:name="_Toc475034498"/>
      <w:bookmarkStart w:id="145" w:name="_Toc475034760"/>
      <w:bookmarkStart w:id="146" w:name="_Toc475034232"/>
      <w:bookmarkStart w:id="147" w:name="_Toc475034499"/>
      <w:bookmarkStart w:id="148" w:name="_Toc475034761"/>
      <w:bookmarkStart w:id="149" w:name="_Toc475034233"/>
      <w:bookmarkStart w:id="150" w:name="_Toc475034500"/>
      <w:bookmarkStart w:id="151" w:name="_Toc475034762"/>
      <w:bookmarkStart w:id="152" w:name="_Toc475034234"/>
      <w:bookmarkStart w:id="153" w:name="_Toc475034501"/>
      <w:bookmarkStart w:id="154" w:name="_Toc475034763"/>
      <w:bookmarkStart w:id="155" w:name="_Toc475034235"/>
      <w:bookmarkStart w:id="156" w:name="_Toc475034502"/>
      <w:bookmarkStart w:id="157" w:name="_Toc475034764"/>
      <w:bookmarkStart w:id="158" w:name="_Toc475034236"/>
      <w:bookmarkStart w:id="159" w:name="_Toc475034503"/>
      <w:bookmarkStart w:id="160" w:name="_Toc475034765"/>
      <w:bookmarkStart w:id="161" w:name="_Toc475034237"/>
      <w:bookmarkStart w:id="162" w:name="_Toc475034504"/>
      <w:bookmarkStart w:id="163" w:name="_Toc475034766"/>
      <w:bookmarkStart w:id="164" w:name="_Toc475034238"/>
      <w:bookmarkStart w:id="165" w:name="_Toc475034505"/>
      <w:bookmarkStart w:id="166" w:name="_Toc475034767"/>
      <w:bookmarkStart w:id="167" w:name="_Toc475034239"/>
      <w:bookmarkStart w:id="168" w:name="_Toc475034506"/>
      <w:bookmarkStart w:id="169" w:name="_Toc475034768"/>
      <w:bookmarkStart w:id="170" w:name="_Toc475034240"/>
      <w:bookmarkStart w:id="171" w:name="_Toc475034507"/>
      <w:bookmarkStart w:id="172" w:name="_Toc475034769"/>
      <w:bookmarkStart w:id="173" w:name="_Toc475034241"/>
      <w:bookmarkStart w:id="174" w:name="_Toc475034508"/>
      <w:bookmarkStart w:id="175" w:name="_Toc475034770"/>
      <w:bookmarkStart w:id="176" w:name="_Toc475034242"/>
      <w:bookmarkStart w:id="177" w:name="_Toc475034509"/>
      <w:bookmarkStart w:id="178" w:name="_Toc475034771"/>
      <w:bookmarkStart w:id="179" w:name="_Toc475034243"/>
      <w:bookmarkStart w:id="180" w:name="_Toc475034510"/>
      <w:bookmarkStart w:id="181" w:name="_Toc475034772"/>
      <w:bookmarkStart w:id="182" w:name="_Toc475034244"/>
      <w:bookmarkStart w:id="183" w:name="_Toc475034511"/>
      <w:bookmarkStart w:id="184" w:name="_Toc475034773"/>
      <w:bookmarkStart w:id="185" w:name="_Toc454380851"/>
      <w:bookmarkStart w:id="186" w:name="_Toc506462940"/>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r>
        <w:t>Capture</w:t>
      </w:r>
      <w:bookmarkEnd w:id="185"/>
      <w:bookmarkEnd w:id="186"/>
    </w:p>
    <w:p w14:paraId="4F9901DE" w14:textId="77777777" w:rsidR="008403BF" w:rsidRPr="00E47247" w:rsidRDefault="00DB78C5" w:rsidP="00F076B1">
      <w:pPr>
        <w:pStyle w:val="RuleStatement"/>
      </w:pPr>
      <w:bookmarkStart w:id="187" w:name="_Toc475034515"/>
      <w:bookmarkStart w:id="188" w:name="_Toc475034777"/>
      <w:r w:rsidRPr="00E47247">
        <w:t>6.2.1.1</w:t>
      </w:r>
      <w:r w:rsidRPr="00E47247">
        <w:tab/>
      </w:r>
      <w:r w:rsidR="008403BF" w:rsidRPr="00E47247">
        <w:t>The organisation must capture and manage records to ensure it can operate effectively and deliver its services.</w:t>
      </w:r>
      <w:bookmarkEnd w:id="187"/>
      <w:bookmarkEnd w:id="188"/>
    </w:p>
    <w:p w14:paraId="3BE98EF8" w14:textId="77777777" w:rsidR="001B38B0" w:rsidRPr="001B38B0" w:rsidRDefault="001B38B0" w:rsidP="0074582B">
      <w:pPr>
        <w:pStyle w:val="NumberedPara"/>
        <w:numPr>
          <w:ilvl w:val="0"/>
          <w:numId w:val="19"/>
        </w:numPr>
        <w:spacing w:before="0" w:after="180"/>
      </w:pPr>
      <w:r w:rsidRPr="001B38B0">
        <w:t>Capture of records and information into records management systems is driven by the business rules and processes of the organisation.</w:t>
      </w:r>
    </w:p>
    <w:p w14:paraId="0A1E9A76" w14:textId="438DC8B7" w:rsidR="001B38B0" w:rsidRDefault="00355C3A" w:rsidP="0074582B">
      <w:pPr>
        <w:pStyle w:val="NumberedPara"/>
        <w:numPr>
          <w:ilvl w:val="0"/>
          <w:numId w:val="19"/>
        </w:numPr>
        <w:spacing w:before="0" w:after="180"/>
      </w:pPr>
      <w:r>
        <w:t xml:space="preserve">Not every piece of information created or received needs to be captured and managed. </w:t>
      </w:r>
      <w:r w:rsidR="001B38B0">
        <w:t xml:space="preserve">The business rules and processes should aid </w:t>
      </w:r>
      <w:r w:rsidR="00026F55">
        <w:t>personnel</w:t>
      </w:r>
      <w:r w:rsidR="001B38B0">
        <w:t xml:space="preserve"> to identify what type of information created or received is a record which needs to be captured and managed w</w:t>
      </w:r>
      <w:r w:rsidR="00E47247">
        <w:t>ithin the governance framework.</w:t>
      </w:r>
    </w:p>
    <w:p w14:paraId="67BEC1C2" w14:textId="4793515F" w:rsidR="001B38B0" w:rsidRDefault="00DB78C5" w:rsidP="00F076B1">
      <w:pPr>
        <w:pStyle w:val="RuleStatement"/>
      </w:pPr>
      <w:r>
        <w:t>6.2.1.2</w:t>
      </w:r>
      <w:r>
        <w:tab/>
      </w:r>
      <w:bookmarkStart w:id="189" w:name="_Toc475034249"/>
      <w:bookmarkStart w:id="190" w:name="_Toc475034516"/>
      <w:bookmarkStart w:id="191" w:name="_Toc475034778"/>
      <w:bookmarkStart w:id="192" w:name="_Toc475034250"/>
      <w:bookmarkStart w:id="193" w:name="_Toc475034517"/>
      <w:bookmarkStart w:id="194" w:name="_Toc475034779"/>
      <w:bookmarkStart w:id="195" w:name="_Toc475034251"/>
      <w:bookmarkStart w:id="196" w:name="_Toc475034518"/>
      <w:bookmarkStart w:id="197" w:name="_Toc475034780"/>
      <w:bookmarkStart w:id="198" w:name="_Toc475034519"/>
      <w:bookmarkStart w:id="199" w:name="_Toc475034781"/>
      <w:bookmarkEnd w:id="189"/>
      <w:bookmarkEnd w:id="190"/>
      <w:bookmarkEnd w:id="191"/>
      <w:bookmarkEnd w:id="192"/>
      <w:bookmarkEnd w:id="193"/>
      <w:bookmarkEnd w:id="194"/>
      <w:bookmarkEnd w:id="195"/>
      <w:bookmarkEnd w:id="196"/>
      <w:bookmarkEnd w:id="197"/>
      <w:r w:rsidR="00261281">
        <w:t>A</w:t>
      </w:r>
      <w:r w:rsidR="001C46A3">
        <w:t>ppropriate</w:t>
      </w:r>
      <w:r w:rsidR="00261281">
        <w:t xml:space="preserve"> m</w:t>
      </w:r>
      <w:r w:rsidR="001B38B0" w:rsidRPr="001B38B0">
        <w:t>etadata regarding a record must be captured</w:t>
      </w:r>
      <w:bookmarkEnd w:id="198"/>
      <w:bookmarkEnd w:id="199"/>
      <w:r>
        <w:t>.</w:t>
      </w:r>
    </w:p>
    <w:p w14:paraId="1C1C26B1" w14:textId="79A58260" w:rsidR="00802948" w:rsidRDefault="007F51AD" w:rsidP="0074582B">
      <w:pPr>
        <w:pStyle w:val="NumberedPara"/>
        <w:numPr>
          <w:ilvl w:val="0"/>
          <w:numId w:val="20"/>
        </w:numPr>
        <w:spacing w:before="0" w:after="180"/>
      </w:pPr>
      <w:r>
        <w:t>A</w:t>
      </w:r>
      <w:r w:rsidR="001C46A3">
        <w:t>ppropriate</w:t>
      </w:r>
      <w:r w:rsidR="00802948" w:rsidRPr="00802948">
        <w:t xml:space="preserve"> metadata provide</w:t>
      </w:r>
      <w:r>
        <w:t>s</w:t>
      </w:r>
      <w:r w:rsidR="00802948" w:rsidRPr="00802948">
        <w:t xml:space="preserve"> meaning and context</w:t>
      </w:r>
      <w:r w:rsidR="00296D54">
        <w:t xml:space="preserve"> and enable</w:t>
      </w:r>
      <w:r>
        <w:t>s</w:t>
      </w:r>
      <w:r w:rsidR="00296D54">
        <w:t xml:space="preserve"> the retrieval and use of records and information, supporting ongoing management</w:t>
      </w:r>
      <w:r w:rsidR="00802948" w:rsidRPr="00802948">
        <w:t>.</w:t>
      </w:r>
      <w:r w:rsidR="00E5211A">
        <w:rPr>
          <w:rStyle w:val="FootnoteReference"/>
        </w:rPr>
        <w:footnoteReference w:id="8"/>
      </w:r>
    </w:p>
    <w:p w14:paraId="7F050766" w14:textId="3354C009" w:rsidR="00A44226" w:rsidRDefault="00A44226" w:rsidP="0074582B">
      <w:pPr>
        <w:pStyle w:val="NumberedPara"/>
        <w:numPr>
          <w:ilvl w:val="0"/>
          <w:numId w:val="20"/>
        </w:numPr>
        <w:spacing w:before="0" w:after="180"/>
      </w:pPr>
      <w:r w:rsidRPr="00A44226">
        <w:t>Metadata defin</w:t>
      </w:r>
      <w:r w:rsidR="00EC00BC">
        <w:t>ing</w:t>
      </w:r>
      <w:r w:rsidRPr="00A44226">
        <w:t xml:space="preserve"> a record’s characteristics at its </w:t>
      </w:r>
      <w:r w:rsidR="00EC00BC">
        <w:t>time of creation or</w:t>
      </w:r>
      <w:r w:rsidRPr="00A44226">
        <w:t xml:space="preserve"> capture, fixing it into the business context of the organisation</w:t>
      </w:r>
      <w:r w:rsidR="00EC00BC">
        <w:t>, is point of capture metadata</w:t>
      </w:r>
      <w:r w:rsidR="0002202F">
        <w:t>.</w:t>
      </w:r>
    </w:p>
    <w:p w14:paraId="7EF9CF9C" w14:textId="77777777" w:rsidR="001B38B0" w:rsidRDefault="00A44226" w:rsidP="0074582B">
      <w:pPr>
        <w:pStyle w:val="NumberedPara"/>
        <w:numPr>
          <w:ilvl w:val="0"/>
          <w:numId w:val="20"/>
        </w:numPr>
        <w:spacing w:before="0" w:after="180"/>
      </w:pPr>
      <w:r w:rsidRPr="00A44226">
        <w:t>Process metadata also accrues over time as the record is used and managed.</w:t>
      </w:r>
    </w:p>
    <w:p w14:paraId="6BE4296B" w14:textId="7C1E02E6" w:rsidR="001B38B0" w:rsidRDefault="00606F52" w:rsidP="00F076B1">
      <w:pPr>
        <w:pStyle w:val="RuleStatement"/>
      </w:pPr>
      <w:bookmarkStart w:id="200" w:name="_Toc475034521"/>
      <w:bookmarkStart w:id="201" w:name="_Toc475034783"/>
      <w:r>
        <w:lastRenderedPageBreak/>
        <w:t>6.2.1.3</w:t>
      </w:r>
      <w:r w:rsidR="00DB78C5">
        <w:tab/>
      </w:r>
      <w:r w:rsidR="00802948">
        <w:t>Unstructured</w:t>
      </w:r>
      <w:r w:rsidR="00F74525">
        <w:t xml:space="preserve"> information which meets the requirements of a</w:t>
      </w:r>
      <w:r w:rsidR="00802948">
        <w:t xml:space="preserve"> record must be captured into </w:t>
      </w:r>
      <w:r w:rsidR="00A43A04">
        <w:t xml:space="preserve">a </w:t>
      </w:r>
      <w:r w:rsidR="00802948">
        <w:t>records management system</w:t>
      </w:r>
      <w:r w:rsidR="00284B5A">
        <w:t xml:space="preserve"> to ensure the integrity of the information</w:t>
      </w:r>
      <w:r w:rsidR="00F74525">
        <w:t>.</w:t>
      </w:r>
      <w:bookmarkEnd w:id="200"/>
      <w:bookmarkEnd w:id="201"/>
    </w:p>
    <w:p w14:paraId="7E8FB7CB" w14:textId="5D298FF8" w:rsidR="00802948" w:rsidRDefault="00E47A68" w:rsidP="0074582B">
      <w:pPr>
        <w:pStyle w:val="NumberedPara"/>
        <w:numPr>
          <w:ilvl w:val="0"/>
          <w:numId w:val="21"/>
        </w:numPr>
        <w:spacing w:before="0" w:after="0"/>
      </w:pPr>
      <w:r>
        <w:t xml:space="preserve">Unstructured information outside a records management system </w:t>
      </w:r>
      <w:r w:rsidR="00284B5A">
        <w:t xml:space="preserve">or on a local area network </w:t>
      </w:r>
      <w:r w:rsidR="00802948">
        <w:t>do</w:t>
      </w:r>
      <w:r>
        <w:t>es</w:t>
      </w:r>
      <w:r w:rsidR="00802948">
        <w:t xml:space="preserve"> not have stric</w:t>
      </w:r>
      <w:r>
        <w:t>t business rules governing its</w:t>
      </w:r>
      <w:r w:rsidR="00802948">
        <w:t xml:space="preserve"> use, nor business specific protections on the </w:t>
      </w:r>
      <w:r w:rsidR="008C1EDA">
        <w:t xml:space="preserve">security and </w:t>
      </w:r>
      <w:r w:rsidR="00F076B1">
        <w:t>integrity of the information.</w:t>
      </w:r>
    </w:p>
    <w:p w14:paraId="6A8AE17A" w14:textId="271AA774" w:rsidR="005C6991" w:rsidRDefault="005C6991" w:rsidP="00B46882">
      <w:pPr>
        <w:pStyle w:val="Heading2"/>
      </w:pPr>
      <w:bookmarkStart w:id="202" w:name="_Toc475034255"/>
      <w:bookmarkStart w:id="203" w:name="_Toc475034522"/>
      <w:bookmarkStart w:id="204" w:name="_Toc475034784"/>
      <w:bookmarkStart w:id="205" w:name="_Toc475034256"/>
      <w:bookmarkStart w:id="206" w:name="_Toc475034523"/>
      <w:bookmarkStart w:id="207" w:name="_Toc475034785"/>
      <w:bookmarkStart w:id="208" w:name="_Toc475034257"/>
      <w:bookmarkStart w:id="209" w:name="_Toc475034524"/>
      <w:bookmarkStart w:id="210" w:name="_Toc475034786"/>
      <w:bookmarkStart w:id="211" w:name="_Toc475034258"/>
      <w:bookmarkStart w:id="212" w:name="_Toc475034525"/>
      <w:bookmarkStart w:id="213" w:name="_Toc475034787"/>
      <w:bookmarkStart w:id="214" w:name="_Toc475034259"/>
      <w:bookmarkStart w:id="215" w:name="_Toc475034526"/>
      <w:bookmarkStart w:id="216" w:name="_Toc475034788"/>
      <w:bookmarkStart w:id="217" w:name="_Toc475034260"/>
      <w:bookmarkStart w:id="218" w:name="_Toc475034527"/>
      <w:bookmarkStart w:id="219" w:name="_Toc475034789"/>
      <w:bookmarkStart w:id="220" w:name="_Toc475034261"/>
      <w:bookmarkStart w:id="221" w:name="_Toc475034528"/>
      <w:bookmarkStart w:id="222" w:name="_Toc475034790"/>
      <w:bookmarkStart w:id="223" w:name="_Toc475034262"/>
      <w:bookmarkStart w:id="224" w:name="_Toc475034529"/>
      <w:bookmarkStart w:id="225" w:name="_Toc475034791"/>
      <w:bookmarkStart w:id="226" w:name="_Toc475034263"/>
      <w:bookmarkStart w:id="227" w:name="_Toc475034530"/>
      <w:bookmarkStart w:id="228" w:name="_Toc475034792"/>
      <w:bookmarkStart w:id="229" w:name="_Toc475034264"/>
      <w:bookmarkStart w:id="230" w:name="_Toc475034531"/>
      <w:bookmarkStart w:id="231" w:name="_Toc475034793"/>
      <w:bookmarkStart w:id="232" w:name="_Toc475034265"/>
      <w:bookmarkStart w:id="233" w:name="_Toc475034532"/>
      <w:bookmarkStart w:id="234" w:name="_Toc475034794"/>
      <w:bookmarkStart w:id="235" w:name="_Toc475034266"/>
      <w:bookmarkStart w:id="236" w:name="_Toc475034533"/>
      <w:bookmarkStart w:id="237" w:name="_Toc475034795"/>
      <w:bookmarkStart w:id="238" w:name="_Toc475034267"/>
      <w:bookmarkStart w:id="239" w:name="_Toc475034534"/>
      <w:bookmarkStart w:id="240" w:name="_Toc475034796"/>
      <w:bookmarkStart w:id="241" w:name="_Toc475034268"/>
      <w:bookmarkStart w:id="242" w:name="_Toc475034535"/>
      <w:bookmarkStart w:id="243" w:name="_Toc475034797"/>
      <w:bookmarkStart w:id="244" w:name="_Toc475034269"/>
      <w:bookmarkStart w:id="245" w:name="_Toc475034536"/>
      <w:bookmarkStart w:id="246" w:name="_Toc475034798"/>
      <w:bookmarkStart w:id="247" w:name="_Toc475034270"/>
      <w:bookmarkStart w:id="248" w:name="_Toc475034537"/>
      <w:bookmarkStart w:id="249" w:name="_Toc475034799"/>
      <w:bookmarkStart w:id="250" w:name="_Toc475034271"/>
      <w:bookmarkStart w:id="251" w:name="_Toc475034538"/>
      <w:bookmarkStart w:id="252" w:name="_Toc475034800"/>
      <w:bookmarkStart w:id="253" w:name="_Toc475034272"/>
      <w:bookmarkStart w:id="254" w:name="_Toc475034539"/>
      <w:bookmarkStart w:id="255" w:name="_Toc475034801"/>
      <w:bookmarkStart w:id="256" w:name="_Toc475034273"/>
      <w:bookmarkStart w:id="257" w:name="_Toc475034540"/>
      <w:bookmarkStart w:id="258" w:name="_Toc475034802"/>
      <w:bookmarkStart w:id="259" w:name="_Toc475034274"/>
      <w:bookmarkStart w:id="260" w:name="_Toc475034541"/>
      <w:bookmarkStart w:id="261" w:name="_Toc475034803"/>
      <w:bookmarkStart w:id="262" w:name="_Toc475034275"/>
      <w:bookmarkStart w:id="263" w:name="_Toc475034542"/>
      <w:bookmarkStart w:id="264" w:name="_Toc475034804"/>
      <w:bookmarkStart w:id="265" w:name="_Toc475034276"/>
      <w:bookmarkStart w:id="266" w:name="_Toc475034543"/>
      <w:bookmarkStart w:id="267" w:name="_Toc475034805"/>
      <w:bookmarkStart w:id="268" w:name="_Toc475034277"/>
      <w:bookmarkStart w:id="269" w:name="_Toc475034544"/>
      <w:bookmarkStart w:id="270" w:name="_Toc475034806"/>
      <w:bookmarkStart w:id="271" w:name="_Toc475034278"/>
      <w:bookmarkStart w:id="272" w:name="_Toc475034545"/>
      <w:bookmarkStart w:id="273" w:name="_Toc475034807"/>
      <w:bookmarkStart w:id="274" w:name="_Toc475034279"/>
      <w:bookmarkStart w:id="275" w:name="_Toc475034546"/>
      <w:bookmarkStart w:id="276" w:name="_Toc475034808"/>
      <w:bookmarkStart w:id="277" w:name="_Toc475034280"/>
      <w:bookmarkStart w:id="278" w:name="_Toc475034547"/>
      <w:bookmarkStart w:id="279" w:name="_Toc475034809"/>
      <w:bookmarkStart w:id="280" w:name="_Toc475034281"/>
      <w:bookmarkStart w:id="281" w:name="_Toc475034548"/>
      <w:bookmarkStart w:id="282" w:name="_Toc475034810"/>
      <w:bookmarkStart w:id="283" w:name="_Toc454380855"/>
      <w:bookmarkStart w:id="284" w:name="_Toc50646294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r w:rsidRPr="00B46882">
        <w:t>Discovery</w:t>
      </w:r>
      <w:bookmarkEnd w:id="283"/>
      <w:bookmarkEnd w:id="284"/>
    </w:p>
    <w:p w14:paraId="6CF8F38A" w14:textId="77777777" w:rsidR="008C22CE" w:rsidRPr="008C22CE" w:rsidRDefault="008C22CE" w:rsidP="00B46882">
      <w:pPr>
        <w:pStyle w:val="Heading3"/>
      </w:pPr>
      <w:bookmarkStart w:id="285" w:name="_Toc506462942"/>
      <w:r>
        <w:t>Records must be a</w:t>
      </w:r>
      <w:r w:rsidRPr="008C22CE">
        <w:t>ccessible</w:t>
      </w:r>
      <w:bookmarkEnd w:id="285"/>
      <w:r w:rsidRPr="008C22CE">
        <w:t xml:space="preserve"> </w:t>
      </w:r>
    </w:p>
    <w:p w14:paraId="25A3D664" w14:textId="5557E997" w:rsidR="005C6991" w:rsidRPr="005C6991" w:rsidRDefault="00DB78C5" w:rsidP="00F076B1">
      <w:pPr>
        <w:pStyle w:val="RuleStatement"/>
      </w:pPr>
      <w:bookmarkStart w:id="286" w:name="_Toc475034551"/>
      <w:bookmarkStart w:id="287" w:name="_Toc475034813"/>
      <w:r>
        <w:t>6.3.1.1</w:t>
      </w:r>
      <w:r>
        <w:tab/>
      </w:r>
      <w:r w:rsidR="005C6991" w:rsidRPr="005C6991">
        <w:t>PSO</w:t>
      </w:r>
      <w:r w:rsidR="00587DE5">
        <w:t>s</w:t>
      </w:r>
      <w:r w:rsidR="005C6991" w:rsidRPr="005C6991">
        <w:t xml:space="preserve"> must be able to find records and information promptly, and be able to read and produce them when required for as long as they need to be retained.</w:t>
      </w:r>
      <w:bookmarkEnd w:id="286"/>
      <w:bookmarkEnd w:id="287"/>
    </w:p>
    <w:p w14:paraId="19648B7A" w14:textId="77777777" w:rsidR="005C6991" w:rsidRDefault="005C6991" w:rsidP="0074582B">
      <w:pPr>
        <w:pStyle w:val="NumberedPara"/>
        <w:numPr>
          <w:ilvl w:val="0"/>
          <w:numId w:val="22"/>
        </w:numPr>
      </w:pPr>
      <w:r>
        <w:t>Search precision and recall should meet the information needs of all stakeholders</w:t>
      </w:r>
      <w:r w:rsidR="002F4E14">
        <w:t>, including searches related to</w:t>
      </w:r>
      <w:r w:rsidR="002F4E14" w:rsidRPr="002F4E14">
        <w:t xml:space="preserve"> </w:t>
      </w:r>
      <w:r w:rsidR="002F4E14">
        <w:t>legal discovery orders and subpoenas, freedom of information requests, audits, and investigations and inquiries</w:t>
      </w:r>
      <w:r>
        <w:t>.</w:t>
      </w:r>
    </w:p>
    <w:p w14:paraId="4147964C" w14:textId="28A93B45" w:rsidR="005C6991" w:rsidRDefault="005C6991" w:rsidP="0074582B">
      <w:pPr>
        <w:pStyle w:val="NumberedPara"/>
        <w:numPr>
          <w:ilvl w:val="0"/>
          <w:numId w:val="22"/>
        </w:numPr>
      </w:pPr>
      <w:r>
        <w:t xml:space="preserve">Records and information </w:t>
      </w:r>
      <w:r w:rsidR="006D2394">
        <w:t>are</w:t>
      </w:r>
      <w:r>
        <w:t xml:space="preserve"> </w:t>
      </w:r>
      <w:r w:rsidR="00D55C02" w:rsidRPr="00C50562">
        <w:t xml:space="preserve">searchable, retrievable </w:t>
      </w:r>
      <w:r w:rsidR="00D55C02">
        <w:t xml:space="preserve">and </w:t>
      </w:r>
      <w:r>
        <w:t>available in open formats</w:t>
      </w:r>
      <w:r w:rsidR="00D55C02">
        <w:t>, including within business systems,</w:t>
      </w:r>
      <w:r>
        <w:t xml:space="preserve"> to facilitate appropriate sharing and re-use by government, the community and industry.</w:t>
      </w:r>
    </w:p>
    <w:p w14:paraId="725DA651" w14:textId="77777777" w:rsidR="005C6991" w:rsidRDefault="00782275" w:rsidP="00F076B1">
      <w:pPr>
        <w:pStyle w:val="RuleStatement"/>
      </w:pPr>
      <w:r>
        <w:t>6.3.1.2</w:t>
      </w:r>
      <w:r>
        <w:tab/>
      </w:r>
      <w:r w:rsidR="00D55C02">
        <w:t xml:space="preserve">PSOs must </w:t>
      </w:r>
      <w:r w:rsidR="00C50562" w:rsidRPr="00C50562">
        <w:t>implement</w:t>
      </w:r>
      <w:r w:rsidR="00D55C02">
        <w:t xml:space="preserve"> measures</w:t>
      </w:r>
      <w:r w:rsidR="00C50562" w:rsidRPr="00C50562">
        <w:t xml:space="preserve"> to mitigate the effects of technical obsolescence of records and information management systems, for example system upgrades and data migration program</w:t>
      </w:r>
      <w:r w:rsidR="004A6139">
        <w:t>s</w:t>
      </w:r>
      <w:r w:rsidR="00C50562" w:rsidRPr="00C50562">
        <w:t xml:space="preserve">, </w:t>
      </w:r>
      <w:r w:rsidR="00D55C02">
        <w:t xml:space="preserve">to </w:t>
      </w:r>
      <w:r w:rsidR="00C50562" w:rsidRPr="00C50562">
        <w:t>preserve the usability of long term records and information.</w:t>
      </w:r>
    </w:p>
    <w:p w14:paraId="0DC260EC" w14:textId="77777777" w:rsidR="00DE773C" w:rsidRDefault="00DE773C" w:rsidP="0074582B">
      <w:pPr>
        <w:pStyle w:val="NumberedPara"/>
        <w:numPr>
          <w:ilvl w:val="0"/>
          <w:numId w:val="23"/>
        </w:numPr>
      </w:pPr>
      <w:r>
        <w:t>Records in all formats need to be stored and maintained to ensure accessibility for the length of the retention period of the record. This includes the physical storage environment, management of control records and security.</w:t>
      </w:r>
    </w:p>
    <w:p w14:paraId="750CFBFF" w14:textId="781CB162" w:rsidR="002F4E14" w:rsidRDefault="00606F52" w:rsidP="00F076B1">
      <w:pPr>
        <w:pStyle w:val="RuleStatement"/>
      </w:pPr>
      <w:bookmarkStart w:id="288" w:name="_Toc475034552"/>
      <w:bookmarkStart w:id="289" w:name="_Toc475034814"/>
      <w:r>
        <w:t>6.3.1.3</w:t>
      </w:r>
      <w:r w:rsidR="00DB78C5">
        <w:tab/>
      </w:r>
      <w:r w:rsidR="002F4E14">
        <w:t>PSOs must apply a</w:t>
      </w:r>
      <w:r w:rsidR="00941BA7">
        <w:t>n authorised</w:t>
      </w:r>
      <w:r w:rsidR="002F4E14">
        <w:t xml:space="preserve"> functional classification system to </w:t>
      </w:r>
      <w:r w:rsidR="00D55C02">
        <w:t>ti</w:t>
      </w:r>
      <w:r w:rsidR="00941BA7">
        <w:t xml:space="preserve">tle or </w:t>
      </w:r>
      <w:r w:rsidR="00AF38A9">
        <w:t>label</w:t>
      </w:r>
      <w:r w:rsidR="00941BA7">
        <w:t xml:space="preserve"> </w:t>
      </w:r>
      <w:r w:rsidR="002F4E14">
        <w:t>records.</w:t>
      </w:r>
      <w:bookmarkEnd w:id="288"/>
      <w:bookmarkEnd w:id="289"/>
    </w:p>
    <w:p w14:paraId="0E2C63AB" w14:textId="7F5391BE" w:rsidR="00C50562" w:rsidRDefault="005C6991" w:rsidP="0074582B">
      <w:pPr>
        <w:pStyle w:val="NumberedPara"/>
        <w:numPr>
          <w:ilvl w:val="0"/>
          <w:numId w:val="24"/>
        </w:numPr>
      </w:pPr>
      <w:r>
        <w:t>Classification of records by business function facilitates</w:t>
      </w:r>
      <w:r w:rsidRPr="00CF0AFB">
        <w:t xml:space="preserve"> </w:t>
      </w:r>
      <w:r>
        <w:t>better control over the</w:t>
      </w:r>
      <w:r w:rsidRPr="00CF0AFB">
        <w:t xml:space="preserve"> retention</w:t>
      </w:r>
      <w:r>
        <w:t>, security</w:t>
      </w:r>
      <w:r w:rsidRPr="00CF0AFB">
        <w:t xml:space="preserve"> and disposal</w:t>
      </w:r>
      <w:r>
        <w:t xml:space="preserve"> of records</w:t>
      </w:r>
      <w:r w:rsidR="00C50562">
        <w:t xml:space="preserve"> as </w:t>
      </w:r>
      <w:r w:rsidR="00E7270A">
        <w:t>business</w:t>
      </w:r>
      <w:r w:rsidR="00C50562">
        <w:t xml:space="preserve"> functions </w:t>
      </w:r>
      <w:r w:rsidR="00E7270A">
        <w:t>remain</w:t>
      </w:r>
      <w:r w:rsidR="00C50562">
        <w:t xml:space="preserve"> relatively </w:t>
      </w:r>
      <w:r w:rsidR="00E7270A">
        <w:t>stable</w:t>
      </w:r>
      <w:r w:rsidR="00C50562">
        <w:t xml:space="preserve"> through </w:t>
      </w:r>
      <w:r w:rsidR="00E7270A">
        <w:t>administrative and organisational</w:t>
      </w:r>
      <w:r w:rsidR="00D55C02">
        <w:t xml:space="preserve"> changes</w:t>
      </w:r>
      <w:r w:rsidR="00C50562" w:rsidRPr="00CF0AFB">
        <w:t>.</w:t>
      </w:r>
    </w:p>
    <w:p w14:paraId="57F85EAD" w14:textId="77777777" w:rsidR="00C50562" w:rsidRPr="00B72658" w:rsidRDefault="005C6991" w:rsidP="0074582B">
      <w:pPr>
        <w:pStyle w:val="NumberedPara"/>
        <w:numPr>
          <w:ilvl w:val="0"/>
          <w:numId w:val="24"/>
        </w:numPr>
      </w:pPr>
      <w:r>
        <w:t>C</w:t>
      </w:r>
      <w:r w:rsidRPr="00B72658">
        <w:t xml:space="preserve">lassification schemes within a records management system allow for </w:t>
      </w:r>
      <w:r>
        <w:t xml:space="preserve">controlled titling, or the application of other meaningful tags, to </w:t>
      </w:r>
      <w:r w:rsidRPr="00B72658">
        <w:t>records at the point of capture</w:t>
      </w:r>
      <w:r>
        <w:t>.</w:t>
      </w:r>
      <w:r w:rsidR="004A6139">
        <w:t xml:space="preserve"> A </w:t>
      </w:r>
      <w:r w:rsidR="00414EF3">
        <w:t xml:space="preserve">uniform </w:t>
      </w:r>
      <w:r w:rsidR="004A6139">
        <w:t>classification may be applied to all records within a RMS if appropriate.</w:t>
      </w:r>
    </w:p>
    <w:p w14:paraId="6E54FE98" w14:textId="77777777" w:rsidR="005C6991" w:rsidRDefault="005C6991" w:rsidP="0074582B">
      <w:pPr>
        <w:pStyle w:val="NumberedPara"/>
        <w:numPr>
          <w:ilvl w:val="0"/>
          <w:numId w:val="24"/>
        </w:numPr>
      </w:pPr>
      <w:r>
        <w:t>Industry accepted classification schemes relevant to the appropriate discipline of the organisation may also be used to classify functional records.</w:t>
      </w:r>
    </w:p>
    <w:p w14:paraId="4DB7EEB3" w14:textId="058C5994" w:rsidR="005C6991" w:rsidRPr="008E3780" w:rsidRDefault="005C6991" w:rsidP="00B46882">
      <w:pPr>
        <w:pStyle w:val="Heading3"/>
      </w:pPr>
      <w:bookmarkStart w:id="290" w:name="_Toc475034286"/>
      <w:bookmarkStart w:id="291" w:name="_Toc475034553"/>
      <w:bookmarkStart w:id="292" w:name="_Toc475034815"/>
      <w:bookmarkStart w:id="293" w:name="_Toc454380857"/>
      <w:bookmarkStart w:id="294" w:name="_Toc506462943"/>
      <w:bookmarkEnd w:id="290"/>
      <w:bookmarkEnd w:id="291"/>
      <w:bookmarkEnd w:id="292"/>
      <w:r>
        <w:t>Records m</w:t>
      </w:r>
      <w:r w:rsidRPr="008E3780">
        <w:t xml:space="preserve">ust </w:t>
      </w:r>
      <w:r>
        <w:t>b</w:t>
      </w:r>
      <w:r w:rsidRPr="008E3780">
        <w:t xml:space="preserve">e </w:t>
      </w:r>
      <w:r w:rsidR="008C22CE">
        <w:t>u</w:t>
      </w:r>
      <w:r>
        <w:t>sable</w:t>
      </w:r>
      <w:bookmarkEnd w:id="293"/>
      <w:bookmarkEnd w:id="294"/>
    </w:p>
    <w:p w14:paraId="244D2F02" w14:textId="77777777" w:rsidR="00824A3F" w:rsidRDefault="00E370D9" w:rsidP="00F076B1">
      <w:pPr>
        <w:pStyle w:val="RuleStatement"/>
      </w:pPr>
      <w:bookmarkStart w:id="295" w:name="_Toc475034555"/>
      <w:bookmarkStart w:id="296" w:name="_Toc475034817"/>
      <w:r>
        <w:t>6.3.2.1</w:t>
      </w:r>
      <w:r>
        <w:tab/>
      </w:r>
      <w:r w:rsidR="00824A3F">
        <w:t xml:space="preserve">Open and </w:t>
      </w:r>
      <w:r w:rsidR="00824A3F" w:rsidRPr="00527BEF">
        <w:t xml:space="preserve">technology neutral formats </w:t>
      </w:r>
      <w:r w:rsidR="00D55C02">
        <w:t>must</w:t>
      </w:r>
      <w:r w:rsidR="00824A3F">
        <w:t xml:space="preserve"> be</w:t>
      </w:r>
      <w:r w:rsidR="00824A3F" w:rsidRPr="00527BEF">
        <w:t xml:space="preserve"> </w:t>
      </w:r>
      <w:r w:rsidR="00D55C02">
        <w:t>used</w:t>
      </w:r>
      <w:r w:rsidR="00824A3F" w:rsidRPr="00527BEF">
        <w:t xml:space="preserve"> for </w:t>
      </w:r>
      <w:r w:rsidR="00824A3F">
        <w:t>long-term storage and access.</w:t>
      </w:r>
      <w:bookmarkEnd w:id="295"/>
      <w:bookmarkEnd w:id="296"/>
    </w:p>
    <w:p w14:paraId="40111B5F" w14:textId="1B979030" w:rsidR="005C6991" w:rsidRDefault="005C6991" w:rsidP="0074582B">
      <w:pPr>
        <w:pStyle w:val="NumberedPara"/>
        <w:numPr>
          <w:ilvl w:val="0"/>
          <w:numId w:val="25"/>
        </w:numPr>
      </w:pPr>
      <w:r>
        <w:lastRenderedPageBreak/>
        <w:t>Examples of open digital file formats are:</w:t>
      </w:r>
      <w:r w:rsidRPr="00527BEF">
        <w:t xml:space="preserve"> </w:t>
      </w:r>
      <w:r w:rsidR="00876840">
        <w:t xml:space="preserve">TXT, </w:t>
      </w:r>
      <w:r w:rsidRPr="00527BEF">
        <w:t>PDF/A-1</w:t>
      </w:r>
      <w:r>
        <w:t>; XML;</w:t>
      </w:r>
      <w:r w:rsidRPr="00527BEF">
        <w:t xml:space="preserve"> TIFF</w:t>
      </w:r>
      <w:r>
        <w:t xml:space="preserve">; </w:t>
      </w:r>
      <w:r w:rsidRPr="00527BEF">
        <w:t>and JPEG.</w:t>
      </w:r>
      <w:r w:rsidRPr="007F3B2A">
        <w:rPr>
          <w:vertAlign w:val="superscript"/>
        </w:rPr>
        <w:footnoteReference w:id="9"/>
      </w:r>
      <w:r w:rsidR="00941BA7">
        <w:t xml:space="preserve"> </w:t>
      </w:r>
      <w:r>
        <w:t xml:space="preserve"> Adoption of open digital formats, in general, facilitates easier reuse and value-adding of the corporate information resource.</w:t>
      </w:r>
      <w:r w:rsidR="00D55C02">
        <w:t xml:space="preserve"> </w:t>
      </w:r>
    </w:p>
    <w:p w14:paraId="6B53D577" w14:textId="77777777" w:rsidR="00824A3F" w:rsidRPr="00527BEF" w:rsidRDefault="00824A3F" w:rsidP="0074582B">
      <w:pPr>
        <w:pStyle w:val="NumberedPara"/>
        <w:numPr>
          <w:ilvl w:val="0"/>
          <w:numId w:val="25"/>
        </w:numPr>
      </w:pPr>
      <w:r w:rsidRPr="00527BEF">
        <w:t>Proprietary file for</w:t>
      </w:r>
      <w:r>
        <w:t>mats should be avoided for long-</w:t>
      </w:r>
      <w:r w:rsidRPr="00527BEF">
        <w:t xml:space="preserve">term storage as vendors </w:t>
      </w:r>
      <w:r w:rsidR="00D55C02">
        <w:t xml:space="preserve">may </w:t>
      </w:r>
      <w:r w:rsidRPr="00527BEF">
        <w:t>discontinue support</w:t>
      </w:r>
      <w:r>
        <w:t>,</w:t>
      </w:r>
      <w:r w:rsidRPr="00527BEF">
        <w:t xml:space="preserve"> or not provide continuity</w:t>
      </w:r>
      <w:r>
        <w:t>,</w:t>
      </w:r>
      <w:r w:rsidRPr="00527BEF">
        <w:t xml:space="preserve"> in newer versions of software</w:t>
      </w:r>
      <w:r>
        <w:t>.</w:t>
      </w:r>
    </w:p>
    <w:p w14:paraId="0A311ACA" w14:textId="4056A05E" w:rsidR="00824A3F" w:rsidRDefault="00E370D9" w:rsidP="00F076B1">
      <w:pPr>
        <w:pStyle w:val="RuleStatement"/>
      </w:pPr>
      <w:bookmarkStart w:id="297" w:name="_Toc475034556"/>
      <w:bookmarkStart w:id="298" w:name="_Toc475034818"/>
      <w:r>
        <w:t>6.3.2.2</w:t>
      </w:r>
      <w:r>
        <w:tab/>
      </w:r>
      <w:r w:rsidR="00824A3F">
        <w:t>S</w:t>
      </w:r>
      <w:r w:rsidR="00824A3F" w:rsidRPr="0075728F">
        <w:t>toring records in encrypted form is not permitted and encrypted records must be decrypted before being captured into records management system</w:t>
      </w:r>
      <w:r w:rsidR="00824A3F">
        <w:t>s</w:t>
      </w:r>
      <w:r w:rsidR="00BB3635">
        <w:t>.</w:t>
      </w:r>
      <w:bookmarkEnd w:id="297"/>
      <w:bookmarkEnd w:id="298"/>
    </w:p>
    <w:p w14:paraId="18DD61DF" w14:textId="77777777" w:rsidR="00805AD8" w:rsidRPr="006B464F" w:rsidRDefault="006B464F" w:rsidP="0074582B">
      <w:pPr>
        <w:pStyle w:val="NumberedPara"/>
        <w:numPr>
          <w:ilvl w:val="0"/>
          <w:numId w:val="26"/>
        </w:numPr>
      </w:pPr>
      <w:r w:rsidRPr="006B464F">
        <w:t>PSOs should avoid the misuse of digital (information) rights management technology and encryption. While encryption and digital signatures may have a valuable role to play in ensuring the authenticity and integrity of records in transmission, they present risks to the ongoing useability of the record as decryption keys and public keys for digital signatures may expire while the record is still required.</w:t>
      </w:r>
    </w:p>
    <w:p w14:paraId="00005B1E" w14:textId="6291D6AD" w:rsidR="00DF0DBB" w:rsidRDefault="00DF0DBB" w:rsidP="00B46882">
      <w:pPr>
        <w:pStyle w:val="Heading2"/>
      </w:pPr>
      <w:bookmarkStart w:id="299" w:name="_Toc475034290"/>
      <w:bookmarkStart w:id="300" w:name="_Toc475034557"/>
      <w:bookmarkStart w:id="301" w:name="_Toc475034819"/>
      <w:bookmarkStart w:id="302" w:name="_Toc475034291"/>
      <w:bookmarkStart w:id="303" w:name="_Toc475034558"/>
      <w:bookmarkStart w:id="304" w:name="_Toc475034820"/>
      <w:bookmarkStart w:id="305" w:name="_Toc475034292"/>
      <w:bookmarkStart w:id="306" w:name="_Toc475034559"/>
      <w:bookmarkStart w:id="307" w:name="_Toc475034821"/>
      <w:bookmarkStart w:id="308" w:name="_Toc475034293"/>
      <w:bookmarkStart w:id="309" w:name="_Toc475034560"/>
      <w:bookmarkStart w:id="310" w:name="_Toc475034822"/>
      <w:bookmarkStart w:id="311" w:name="_Toc475034294"/>
      <w:bookmarkStart w:id="312" w:name="_Toc475034561"/>
      <w:bookmarkStart w:id="313" w:name="_Toc475034823"/>
      <w:bookmarkStart w:id="314" w:name="_Toc475034295"/>
      <w:bookmarkStart w:id="315" w:name="_Toc475034562"/>
      <w:bookmarkStart w:id="316" w:name="_Toc475034824"/>
      <w:bookmarkStart w:id="317" w:name="_Toc475034296"/>
      <w:bookmarkStart w:id="318" w:name="_Toc475034563"/>
      <w:bookmarkStart w:id="319" w:name="_Toc475034825"/>
      <w:bookmarkStart w:id="320" w:name="_Toc475034297"/>
      <w:bookmarkStart w:id="321" w:name="_Toc475034564"/>
      <w:bookmarkStart w:id="322" w:name="_Toc475034826"/>
      <w:bookmarkStart w:id="323" w:name="_Toc454380859"/>
      <w:bookmarkStart w:id="324" w:name="_Toc506462944"/>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r>
        <w:t>Security</w:t>
      </w:r>
      <w:bookmarkEnd w:id="323"/>
      <w:bookmarkEnd w:id="324"/>
    </w:p>
    <w:p w14:paraId="28B43CBB" w14:textId="56A3E605" w:rsidR="00D17014" w:rsidRPr="00D17014" w:rsidRDefault="00801D28" w:rsidP="003C3617">
      <w:r>
        <w:t xml:space="preserve">Use of the protective markings described in </w:t>
      </w:r>
      <w:r w:rsidR="00D17014">
        <w:t>Sections</w:t>
      </w:r>
      <w:r w:rsidR="0002202F">
        <w:t> </w:t>
      </w:r>
      <w:r w:rsidR="00D17014">
        <w:t>6.4.</w:t>
      </w:r>
      <w:r w:rsidR="003876D8">
        <w:t>3</w:t>
      </w:r>
      <w:r w:rsidR="00D17014">
        <w:t>, 6.4.</w:t>
      </w:r>
      <w:r w:rsidR="003876D8">
        <w:t>4</w:t>
      </w:r>
      <w:r w:rsidR="00D17014">
        <w:t xml:space="preserve"> and 6.4.</w:t>
      </w:r>
      <w:r w:rsidR="003876D8">
        <w:t>5</w:t>
      </w:r>
      <w:r w:rsidR="00D17014">
        <w:t xml:space="preserve"> a</w:t>
      </w:r>
      <w:r w:rsidR="0002202F">
        <w:t>pply only to PSOs listed as an a</w:t>
      </w:r>
      <w:r w:rsidR="00D17014">
        <w:t>gency in the Administrative Arrangements Order</w:t>
      </w:r>
      <w:r w:rsidR="00E317A2">
        <w:t>,</w:t>
      </w:r>
      <w:r>
        <w:t xml:space="preserve"> which are</w:t>
      </w:r>
      <w:r w:rsidR="00D17014">
        <w:t xml:space="preserve"> referred to in this standard as NTG PSOs. Other PSOs </w:t>
      </w:r>
      <w:r w:rsidR="00782275">
        <w:t>are encouraged to</w:t>
      </w:r>
      <w:r w:rsidR="00D17014">
        <w:t xml:space="preserve"> model their </w:t>
      </w:r>
      <w:r>
        <w:t>protective markings and associated h</w:t>
      </w:r>
      <w:r w:rsidR="00D17014">
        <w:t>andling procedures on the NTG PSO requirements</w:t>
      </w:r>
      <w:r w:rsidR="00E050B2">
        <w:t xml:space="preserve"> if applicable</w:t>
      </w:r>
      <w:r w:rsidR="00D17014">
        <w:t>.</w:t>
      </w:r>
    </w:p>
    <w:p w14:paraId="258A9992" w14:textId="77777777" w:rsidR="00932523" w:rsidRPr="00932523" w:rsidRDefault="00932523" w:rsidP="00B46882">
      <w:pPr>
        <w:pStyle w:val="Heading3"/>
      </w:pPr>
      <w:bookmarkStart w:id="325" w:name="_Toc506462945"/>
      <w:r>
        <w:t>Secure access to records</w:t>
      </w:r>
      <w:bookmarkEnd w:id="325"/>
    </w:p>
    <w:p w14:paraId="513229D0" w14:textId="77777777" w:rsidR="00DF0DBB" w:rsidRPr="00DF0DBB" w:rsidRDefault="00E370D9" w:rsidP="00F076B1">
      <w:pPr>
        <w:pStyle w:val="RuleStatement"/>
      </w:pPr>
      <w:bookmarkStart w:id="326" w:name="_Toc475034567"/>
      <w:bookmarkStart w:id="327" w:name="_Toc475034829"/>
      <w:r>
        <w:t>6.4.1.1</w:t>
      </w:r>
      <w:r>
        <w:tab/>
      </w:r>
      <w:r w:rsidR="00DF0DBB" w:rsidRPr="00DF0DBB">
        <w:t xml:space="preserve">Records and information </w:t>
      </w:r>
      <w:r w:rsidR="00BD11F3">
        <w:t>must</w:t>
      </w:r>
      <w:r w:rsidR="00DF0DBB" w:rsidRPr="00DF0DBB">
        <w:t xml:space="preserve"> be protected from unauthorised or unlawful access, destruction, loss, deletion or alteration.</w:t>
      </w:r>
      <w:bookmarkEnd w:id="326"/>
      <w:bookmarkEnd w:id="327"/>
    </w:p>
    <w:p w14:paraId="0C7AFE1C" w14:textId="68BC4121" w:rsidR="00DF0DBB" w:rsidRDefault="00EC3A58" w:rsidP="0074582B">
      <w:pPr>
        <w:pStyle w:val="NumberedPara"/>
        <w:numPr>
          <w:ilvl w:val="0"/>
          <w:numId w:val="27"/>
        </w:numPr>
      </w:pPr>
      <w:r>
        <w:t>A</w:t>
      </w:r>
      <w:r w:rsidR="00DF0DBB">
        <w:t xml:space="preserve">ccess to sensitive records and information should be on a need-to-know basis, </w:t>
      </w:r>
      <w:r w:rsidR="00487DFA">
        <w:t>i</w:t>
      </w:r>
      <w:r w:rsidR="008C1EDA">
        <w:t>.</w:t>
      </w:r>
      <w:r w:rsidR="00487DFA">
        <w:t xml:space="preserve">e. </w:t>
      </w:r>
      <w:r w:rsidR="00D55C02">
        <w:t>i</w:t>
      </w:r>
      <w:r w:rsidR="00487DFA">
        <w:t>nformation access is to be determined by whether it is r</w:t>
      </w:r>
      <w:r w:rsidR="00DF0DBB">
        <w:t>equire</w:t>
      </w:r>
      <w:r w:rsidR="00487DFA">
        <w:t>d in order</w:t>
      </w:r>
      <w:r w:rsidR="00DF0DBB">
        <w:t xml:space="preserve"> to perform </w:t>
      </w:r>
      <w:r w:rsidR="00487DFA">
        <w:t>a</w:t>
      </w:r>
      <w:r w:rsidR="00DF0DBB">
        <w:t xml:space="preserve"> dut</w:t>
      </w:r>
      <w:r w:rsidR="00487DFA">
        <w:t>y or meet a legal right</w:t>
      </w:r>
      <w:r w:rsidR="00D901E5">
        <w:t xml:space="preserve"> or obligation</w:t>
      </w:r>
      <w:r w:rsidR="00487DFA">
        <w:t>.</w:t>
      </w:r>
    </w:p>
    <w:p w14:paraId="65734113" w14:textId="3706A041" w:rsidR="00932523" w:rsidRDefault="00932523" w:rsidP="0074582B">
      <w:pPr>
        <w:pStyle w:val="NumberedPara"/>
        <w:numPr>
          <w:ilvl w:val="0"/>
          <w:numId w:val="27"/>
        </w:numPr>
      </w:pPr>
      <w:r w:rsidRPr="00932523">
        <w:t xml:space="preserve">Business unit managers </w:t>
      </w:r>
      <w:r w:rsidR="00C70905">
        <w:t>are responsible for</w:t>
      </w:r>
      <w:r w:rsidRPr="00932523">
        <w:t xml:space="preserve"> determin</w:t>
      </w:r>
      <w:r w:rsidR="00C70905">
        <w:t>ing</w:t>
      </w:r>
      <w:r w:rsidRPr="00932523">
        <w:t xml:space="preserve"> </w:t>
      </w:r>
      <w:r w:rsidR="00017558">
        <w:t>who should</w:t>
      </w:r>
      <w:r w:rsidRPr="00932523">
        <w:t xml:space="preserve"> have a ‘need</w:t>
      </w:r>
      <w:r w:rsidR="00017558">
        <w:t>-</w:t>
      </w:r>
      <w:r w:rsidRPr="00932523">
        <w:t>to</w:t>
      </w:r>
      <w:r w:rsidR="00017558">
        <w:t>-</w:t>
      </w:r>
      <w:r w:rsidRPr="00932523">
        <w:t>know’ regarding official records and information</w:t>
      </w:r>
      <w:r w:rsidR="00720B7E">
        <w:t>,</w:t>
      </w:r>
      <w:r w:rsidRPr="00932523">
        <w:t xml:space="preserve"> and </w:t>
      </w:r>
      <w:r w:rsidR="00C70905">
        <w:t xml:space="preserve">to </w:t>
      </w:r>
      <w:r w:rsidRPr="00932523">
        <w:t xml:space="preserve">allocate </w:t>
      </w:r>
      <w:r>
        <w:t xml:space="preserve">and document appropriate </w:t>
      </w:r>
      <w:r w:rsidR="00B8476D">
        <w:t>personnel</w:t>
      </w:r>
      <w:r w:rsidR="00E9517C">
        <w:t xml:space="preserve"> </w:t>
      </w:r>
      <w:r w:rsidRPr="00932523">
        <w:t xml:space="preserve">security </w:t>
      </w:r>
      <w:r w:rsidR="00E9517C">
        <w:t>profiles.</w:t>
      </w:r>
    </w:p>
    <w:p w14:paraId="05FFACF1" w14:textId="11DE6431" w:rsidR="00932523" w:rsidRDefault="00932523" w:rsidP="0074582B">
      <w:pPr>
        <w:pStyle w:val="NumberedPara"/>
        <w:numPr>
          <w:ilvl w:val="0"/>
          <w:numId w:val="27"/>
        </w:numPr>
      </w:pPr>
      <w:r w:rsidRPr="00932523">
        <w:t xml:space="preserve">Penalties may apply if an organisation fails to store information securely and this results in a privacy breach. Penalties may apply to an individual, if the individual mishandles information in accordance with offence provisions of the </w:t>
      </w:r>
      <w:r w:rsidR="00017558" w:rsidRPr="00B533D4">
        <w:rPr>
          <w:i/>
        </w:rPr>
        <w:t xml:space="preserve">Information </w:t>
      </w:r>
      <w:r w:rsidRPr="00B533D4">
        <w:rPr>
          <w:i/>
        </w:rPr>
        <w:t>Act</w:t>
      </w:r>
      <w:r w:rsidRPr="00932523">
        <w:t>.</w:t>
      </w:r>
    </w:p>
    <w:p w14:paraId="3C9A5FD6" w14:textId="0FFCBF81" w:rsidR="00932523" w:rsidRPr="002C0C67" w:rsidRDefault="00E370D9" w:rsidP="00F076B1">
      <w:pPr>
        <w:pStyle w:val="RuleStatement"/>
      </w:pPr>
      <w:bookmarkStart w:id="328" w:name="_Toc475034568"/>
      <w:bookmarkStart w:id="329" w:name="_Toc475034830"/>
      <w:r>
        <w:t>6.4.1.2</w:t>
      </w:r>
      <w:r>
        <w:tab/>
      </w:r>
      <w:r w:rsidR="00932523">
        <w:t>Access to record and information systems must be monitored and controlled.</w:t>
      </w:r>
      <w:bookmarkEnd w:id="328"/>
      <w:bookmarkEnd w:id="329"/>
    </w:p>
    <w:p w14:paraId="095B56C2" w14:textId="572615F3" w:rsidR="0094575C" w:rsidRDefault="0094575C" w:rsidP="0074582B">
      <w:pPr>
        <w:pStyle w:val="NumberedPara"/>
        <w:numPr>
          <w:ilvl w:val="0"/>
          <w:numId w:val="28"/>
        </w:numPr>
      </w:pPr>
      <w:r>
        <w:t>Access to official records is restricted to users with th</w:t>
      </w:r>
      <w:r w:rsidR="00B46882">
        <w:t>e appropriate security profile.</w:t>
      </w:r>
    </w:p>
    <w:p w14:paraId="101C04EE" w14:textId="5FE23482" w:rsidR="0094575C" w:rsidRDefault="0094575C" w:rsidP="0074582B">
      <w:pPr>
        <w:pStyle w:val="NumberedPara"/>
        <w:numPr>
          <w:ilvl w:val="0"/>
          <w:numId w:val="28"/>
        </w:numPr>
      </w:pPr>
      <w:r>
        <w:t>The movement and alteration of official records is undertaken in compliance with securi</w:t>
      </w:r>
      <w:r w:rsidR="00B46882">
        <w:t>ty requirements of the records.</w:t>
      </w:r>
    </w:p>
    <w:p w14:paraId="1DF5D7A2" w14:textId="77777777" w:rsidR="00932523" w:rsidRPr="0094575C" w:rsidRDefault="0094575C" w:rsidP="0074582B">
      <w:pPr>
        <w:pStyle w:val="NumberedPara"/>
        <w:numPr>
          <w:ilvl w:val="0"/>
          <w:numId w:val="28"/>
        </w:numPr>
      </w:pPr>
      <w:r>
        <w:t>Audit logs of records management systems are to be monitored to ensure compliance with security requirements.</w:t>
      </w:r>
    </w:p>
    <w:p w14:paraId="1EA7BCEF" w14:textId="4A634D21" w:rsidR="00C53FDB" w:rsidRDefault="00C53FDB" w:rsidP="00F076B1">
      <w:pPr>
        <w:pStyle w:val="RuleStatement"/>
      </w:pPr>
      <w:bookmarkStart w:id="330" w:name="_Toc475034569"/>
      <w:bookmarkStart w:id="331" w:name="_Toc475034831"/>
      <w:r>
        <w:lastRenderedPageBreak/>
        <w:t>6.4.1.3</w:t>
      </w:r>
      <w:r>
        <w:tab/>
        <w:t>All personnel accessing records and information systems must have an approved security profile mapped to the record and information systems to which they have access.</w:t>
      </w:r>
      <w:bookmarkEnd w:id="330"/>
      <w:bookmarkEnd w:id="331"/>
    </w:p>
    <w:p w14:paraId="3B75A4C6" w14:textId="3C93FF8E" w:rsidR="00D55C02" w:rsidRPr="0076254D" w:rsidRDefault="0076254D" w:rsidP="00F076B1">
      <w:pPr>
        <w:pStyle w:val="RuleStatement"/>
      </w:pPr>
      <w:r>
        <w:t>6.4.1.4</w:t>
      </w:r>
      <w:r>
        <w:tab/>
      </w:r>
      <w:r w:rsidR="00DF0DBB" w:rsidRPr="0076254D">
        <w:t>PSO</w:t>
      </w:r>
      <w:r w:rsidR="00A72667" w:rsidRPr="0076254D">
        <w:t>s</w:t>
      </w:r>
      <w:r w:rsidR="00DF0DBB" w:rsidRPr="0076254D">
        <w:t xml:space="preserve"> </w:t>
      </w:r>
      <w:r w:rsidR="00FD1B07">
        <w:t>must assess</w:t>
      </w:r>
      <w:r w:rsidR="00DF0DBB" w:rsidRPr="0076254D">
        <w:t xml:space="preserve"> the value of information contained in the records they possess and </w:t>
      </w:r>
      <w:r w:rsidR="0058745C" w:rsidRPr="0076254D">
        <w:t xml:space="preserve">implement </w:t>
      </w:r>
      <w:r w:rsidR="00DF0DBB" w:rsidRPr="0076254D">
        <w:t xml:space="preserve">appropriate security handling procedures </w:t>
      </w:r>
      <w:r w:rsidR="00925D59" w:rsidRPr="0076254D">
        <w:t>based on a risk analysis of the likely impact of unauthorised disclosure.</w:t>
      </w:r>
    </w:p>
    <w:p w14:paraId="2B3F138D" w14:textId="4EB35A9B" w:rsidR="006325A3" w:rsidRPr="004A5BDC" w:rsidRDefault="006325A3" w:rsidP="00B46882">
      <w:pPr>
        <w:pStyle w:val="Heading3"/>
      </w:pPr>
      <w:bookmarkStart w:id="332" w:name="_Toc475034307"/>
      <w:bookmarkStart w:id="333" w:name="_Toc475034574"/>
      <w:bookmarkStart w:id="334" w:name="_Toc475034836"/>
      <w:bookmarkStart w:id="335" w:name="_Toc475034308"/>
      <w:bookmarkStart w:id="336" w:name="_Toc475034575"/>
      <w:bookmarkStart w:id="337" w:name="_Toc475034837"/>
      <w:bookmarkStart w:id="338" w:name="_Toc475034309"/>
      <w:bookmarkStart w:id="339" w:name="_Toc475034576"/>
      <w:bookmarkStart w:id="340" w:name="_Toc475034838"/>
      <w:bookmarkStart w:id="341" w:name="_Toc454380861"/>
      <w:bookmarkStart w:id="342" w:name="_Toc506462946"/>
      <w:bookmarkEnd w:id="332"/>
      <w:bookmarkEnd w:id="333"/>
      <w:bookmarkEnd w:id="334"/>
      <w:bookmarkEnd w:id="335"/>
      <w:bookmarkEnd w:id="336"/>
      <w:bookmarkEnd w:id="337"/>
      <w:bookmarkEnd w:id="338"/>
      <w:bookmarkEnd w:id="339"/>
      <w:bookmarkEnd w:id="340"/>
      <w:r>
        <w:t xml:space="preserve">Protective </w:t>
      </w:r>
      <w:r w:rsidR="001D21D4">
        <w:t>m</w:t>
      </w:r>
      <w:r w:rsidRPr="004A5BDC">
        <w:t>arkings</w:t>
      </w:r>
      <w:bookmarkEnd w:id="342"/>
    </w:p>
    <w:p w14:paraId="2DDDD6F9" w14:textId="38429C2B" w:rsidR="006325A3" w:rsidRDefault="006325A3" w:rsidP="00F076B1">
      <w:pPr>
        <w:pStyle w:val="RuleStatement"/>
      </w:pPr>
      <w:r>
        <w:t>6.4.</w:t>
      </w:r>
      <w:r w:rsidR="00606F52">
        <w:t>2</w:t>
      </w:r>
      <w:r>
        <w:t>.1</w:t>
      </w:r>
      <w:r>
        <w:tab/>
        <w:t xml:space="preserve">A </w:t>
      </w:r>
      <w:r w:rsidRPr="002C0C67">
        <w:t xml:space="preserve">protective marking must be assigned to a record identified as </w:t>
      </w:r>
      <w:r>
        <w:t xml:space="preserve">being sensitive or </w:t>
      </w:r>
      <w:r w:rsidRPr="002C0C67">
        <w:t xml:space="preserve">requiring </w:t>
      </w:r>
      <w:r>
        <w:t xml:space="preserve">a </w:t>
      </w:r>
      <w:r w:rsidRPr="002C0C67">
        <w:t>security classification</w:t>
      </w:r>
      <w:r>
        <w:t>,</w:t>
      </w:r>
      <w:r w:rsidRPr="002C0C67">
        <w:t xml:space="preserve"> indicating the level of protecti</w:t>
      </w:r>
      <w:r>
        <w:t xml:space="preserve">on required </w:t>
      </w:r>
      <w:r w:rsidRPr="002C0C67">
        <w:t>during the use, storage, transmission, transfer and disposal of the information</w:t>
      </w:r>
      <w:r w:rsidR="0002202F">
        <w:t>.</w:t>
      </w:r>
    </w:p>
    <w:p w14:paraId="328CE4A0" w14:textId="77777777" w:rsidR="00062500" w:rsidRDefault="00062500" w:rsidP="0074582B">
      <w:pPr>
        <w:pStyle w:val="NumberedPara"/>
        <w:numPr>
          <w:ilvl w:val="0"/>
          <w:numId w:val="29"/>
        </w:numPr>
      </w:pPr>
      <w:r>
        <w:t xml:space="preserve">Appropriate protective markings for sensitive information </w:t>
      </w:r>
      <w:r w:rsidR="008712F3">
        <w:t>are</w:t>
      </w:r>
      <w:r>
        <w:t xml:space="preserve"> defined and any related handling procedures documented. Protective markings should be based on risk analysis of the likely impact of unauthorised disclosure of the information.</w:t>
      </w:r>
    </w:p>
    <w:p w14:paraId="622BA39E" w14:textId="77777777" w:rsidR="00062500" w:rsidRDefault="00062500" w:rsidP="0074582B">
      <w:pPr>
        <w:pStyle w:val="NumberedPara"/>
        <w:numPr>
          <w:ilvl w:val="0"/>
          <w:numId w:val="29"/>
        </w:numPr>
      </w:pPr>
      <w:r>
        <w:t>Personnel</w:t>
      </w:r>
      <w:r w:rsidRPr="00170418">
        <w:t xml:space="preserve"> </w:t>
      </w:r>
      <w:r>
        <w:t xml:space="preserve">creating </w:t>
      </w:r>
      <w:r w:rsidR="000807CD">
        <w:t>a</w:t>
      </w:r>
      <w:r>
        <w:t xml:space="preserve"> record, </w:t>
      </w:r>
      <w:r w:rsidRPr="00170418">
        <w:t xml:space="preserve">or actioning </w:t>
      </w:r>
      <w:r>
        <w:t>a record</w:t>
      </w:r>
      <w:r w:rsidRPr="00170418">
        <w:t xml:space="preserve"> </w:t>
      </w:r>
      <w:r w:rsidR="008712F3">
        <w:t>received from</w:t>
      </w:r>
      <w:r w:rsidRPr="00170418">
        <w:t xml:space="preserve"> outside the </w:t>
      </w:r>
      <w:r>
        <w:t>organisation</w:t>
      </w:r>
      <w:r w:rsidR="00086B5E">
        <w:t>,</w:t>
      </w:r>
      <w:r>
        <w:t xml:space="preserve"> </w:t>
      </w:r>
      <w:r w:rsidR="008712F3">
        <w:t>are responsible for allocating an</w:t>
      </w:r>
      <w:r>
        <w:t xml:space="preserve"> appropriate protective marking in accordance with approved standard operating procedures.</w:t>
      </w:r>
    </w:p>
    <w:p w14:paraId="3F30C7E7" w14:textId="77777777" w:rsidR="006325A3" w:rsidRPr="002C0C67" w:rsidRDefault="006325A3" w:rsidP="0074582B">
      <w:pPr>
        <w:pStyle w:val="NumberedPara"/>
        <w:numPr>
          <w:ilvl w:val="0"/>
          <w:numId w:val="29"/>
        </w:numPr>
      </w:pPr>
      <w:r>
        <w:t>Protective markings available for use by NTG PSOs are: Security Classifications; D</w:t>
      </w:r>
      <w:r w:rsidR="00AF38A9">
        <w:t xml:space="preserve">issemination </w:t>
      </w:r>
      <w:r>
        <w:t>L</w:t>
      </w:r>
      <w:r w:rsidR="00AF38A9">
        <w:t xml:space="preserve">imiting </w:t>
      </w:r>
      <w:r>
        <w:t>M</w:t>
      </w:r>
      <w:r w:rsidR="00AF38A9">
        <w:t>arker</w:t>
      </w:r>
      <w:r>
        <w:t>s; and Caveats.</w:t>
      </w:r>
    </w:p>
    <w:p w14:paraId="4D71CB26" w14:textId="3E5B5439" w:rsidR="00F56BC0" w:rsidRPr="00246813" w:rsidRDefault="00F56BC0" w:rsidP="00B46882">
      <w:pPr>
        <w:pStyle w:val="Heading3"/>
      </w:pPr>
      <w:bookmarkStart w:id="343" w:name="_Toc506462947"/>
      <w:r w:rsidRPr="00246813">
        <w:t xml:space="preserve">NTG </w:t>
      </w:r>
      <w:r w:rsidR="00A8690F">
        <w:t>PSO</w:t>
      </w:r>
      <w:r w:rsidR="00801D28">
        <w:t>:</w:t>
      </w:r>
      <w:r w:rsidR="00A8690F">
        <w:t xml:space="preserve"> </w:t>
      </w:r>
      <w:r>
        <w:t xml:space="preserve">Security </w:t>
      </w:r>
      <w:r w:rsidR="001D21D4">
        <w:t>c</w:t>
      </w:r>
      <w:r>
        <w:t xml:space="preserve">lassification </w:t>
      </w:r>
      <w:r w:rsidR="001D21D4">
        <w:t>s</w:t>
      </w:r>
      <w:r>
        <w:t>ystem</w:t>
      </w:r>
      <w:bookmarkEnd w:id="341"/>
      <w:bookmarkEnd w:id="343"/>
    </w:p>
    <w:p w14:paraId="218B4FAB" w14:textId="77777777" w:rsidR="00932523" w:rsidRDefault="00606F52" w:rsidP="00F076B1">
      <w:pPr>
        <w:pStyle w:val="RuleStatement"/>
      </w:pPr>
      <w:bookmarkStart w:id="344" w:name="_Toc475034578"/>
      <w:bookmarkStart w:id="345" w:name="_Toc475034840"/>
      <w:r>
        <w:t>6.4.3</w:t>
      </w:r>
      <w:r w:rsidR="001C2466">
        <w:t>.1</w:t>
      </w:r>
      <w:r w:rsidR="001C2466">
        <w:tab/>
      </w:r>
      <w:r w:rsidR="00932523">
        <w:t xml:space="preserve">NTG PSOs must apply the NTG </w:t>
      </w:r>
      <w:r w:rsidR="00932523" w:rsidRPr="00246813">
        <w:t>Security Classification System</w:t>
      </w:r>
      <w:r w:rsidR="00CF3DFF">
        <w:t xml:space="preserve"> to protect sensitive information from unauthorised access.</w:t>
      </w:r>
      <w:bookmarkEnd w:id="344"/>
      <w:bookmarkEnd w:id="345"/>
    </w:p>
    <w:p w14:paraId="787C04F2" w14:textId="181396F7" w:rsidR="00D17014" w:rsidRDefault="00D17014" w:rsidP="0074582B">
      <w:pPr>
        <w:pStyle w:val="NumberedPara"/>
        <w:numPr>
          <w:ilvl w:val="0"/>
          <w:numId w:val="30"/>
        </w:numPr>
      </w:pPr>
      <w:r w:rsidRPr="00BB3635">
        <w:t xml:space="preserve">Information security in </w:t>
      </w:r>
      <w:r>
        <w:t xml:space="preserve">NTG </w:t>
      </w:r>
      <w:r w:rsidRPr="00BB3635">
        <w:t xml:space="preserve">PSOs </w:t>
      </w:r>
      <w:r w:rsidR="002D39F5">
        <w:t>is to</w:t>
      </w:r>
      <w:r w:rsidRPr="00BB3635">
        <w:t xml:space="preserve"> be aligned with requirements detailed in the Australian</w:t>
      </w:r>
      <w:r>
        <w:t xml:space="preserve"> Government’s Protective Security Policy Framework (PSPF)</w:t>
      </w:r>
      <w:r w:rsidR="002D39F5">
        <w:t xml:space="preserve"> where appropriate and applicable</w:t>
      </w:r>
      <w:r>
        <w:t>.</w:t>
      </w:r>
      <w:r w:rsidR="00D74E07">
        <w:rPr>
          <w:rStyle w:val="FootnoteReference"/>
        </w:rPr>
        <w:footnoteReference w:id="10"/>
      </w:r>
    </w:p>
    <w:p w14:paraId="48D6B019" w14:textId="1CD8864B" w:rsidR="00F56BC0" w:rsidRPr="00246813" w:rsidRDefault="00F56BC0" w:rsidP="0074582B">
      <w:pPr>
        <w:pStyle w:val="NumberedPara"/>
        <w:numPr>
          <w:ilvl w:val="0"/>
          <w:numId w:val="30"/>
        </w:numPr>
      </w:pPr>
      <w:r w:rsidRPr="00246813">
        <w:t>The NTG Security Classification System is modelled on the Australian Government Security Classification System (AGSCS)</w:t>
      </w:r>
      <w:r w:rsidR="0099105E">
        <w:t xml:space="preserve"> and appl</w:t>
      </w:r>
      <w:r w:rsidR="00927582">
        <w:t>ies</w:t>
      </w:r>
      <w:r w:rsidR="0099105E">
        <w:t xml:space="preserve"> to </w:t>
      </w:r>
      <w:r w:rsidR="0099105E" w:rsidRPr="0099105E">
        <w:t>information in any format</w:t>
      </w:r>
      <w:r w:rsidRPr="00246813">
        <w:t xml:space="preserve">. The AGSCS is part of the </w:t>
      </w:r>
      <w:r w:rsidR="0099105E">
        <w:t>PSPF</w:t>
      </w:r>
      <w:r w:rsidRPr="00246813">
        <w:t>.</w:t>
      </w:r>
      <w:r w:rsidR="00FC452E">
        <w:rPr>
          <w:rStyle w:val="FootnoteReference"/>
        </w:rPr>
        <w:footnoteReference w:id="11"/>
      </w:r>
    </w:p>
    <w:p w14:paraId="6F2E9668" w14:textId="77777777" w:rsidR="00DE2902" w:rsidRDefault="00DE2902" w:rsidP="00B46882">
      <w:r w:rsidRPr="00246813">
        <w:t>NTG security classifications aligned with the PSPF classifications</w:t>
      </w:r>
      <w:r w:rsidR="00100146">
        <w:t>:</w:t>
      </w:r>
    </w:p>
    <w:tbl>
      <w:tblPr>
        <w:tblStyle w:val="NTGTable"/>
        <w:tblW w:w="10065" w:type="dxa"/>
        <w:tblInd w:w="-5" w:type="dxa"/>
        <w:tblLook w:val="04A0" w:firstRow="1" w:lastRow="0" w:firstColumn="1" w:lastColumn="0" w:noHBand="0" w:noVBand="1"/>
        <w:tblDescription w:val="List of NTG security classifications that are aligned with the PSPF classifications and their definitions."/>
      </w:tblPr>
      <w:tblGrid>
        <w:gridCol w:w="2835"/>
        <w:gridCol w:w="7230"/>
      </w:tblGrid>
      <w:tr w:rsidR="00DE2902" w:rsidRPr="00B46882" w14:paraId="19406C74" w14:textId="77777777" w:rsidTr="0002202F">
        <w:trPr>
          <w:cnfStyle w:val="100000000000" w:firstRow="1" w:lastRow="0" w:firstColumn="0" w:lastColumn="0" w:oddVBand="0" w:evenVBand="0" w:oddHBand="0" w:evenHBand="0" w:firstRowFirstColumn="0" w:firstRowLastColumn="0" w:lastRowFirstColumn="0" w:lastRowLastColumn="0"/>
        </w:trPr>
        <w:tc>
          <w:tcPr>
            <w:tcW w:w="2835" w:type="dxa"/>
          </w:tcPr>
          <w:p w14:paraId="694D0020" w14:textId="77777777" w:rsidR="00DE2902" w:rsidRPr="00B46882" w:rsidRDefault="00DE2902" w:rsidP="00B46882">
            <w:pPr>
              <w:spacing w:before="40" w:after="40"/>
            </w:pPr>
            <w:r w:rsidRPr="00B46882">
              <w:t>Classifications</w:t>
            </w:r>
          </w:p>
        </w:tc>
        <w:tc>
          <w:tcPr>
            <w:tcW w:w="7230" w:type="dxa"/>
          </w:tcPr>
          <w:p w14:paraId="4A0ABEA4" w14:textId="77777777" w:rsidR="00DE2902" w:rsidRPr="00B46882" w:rsidRDefault="00DE2902" w:rsidP="00B46882">
            <w:pPr>
              <w:spacing w:before="40" w:after="40"/>
            </w:pPr>
            <w:r w:rsidRPr="00B46882">
              <w:t>Comments</w:t>
            </w:r>
          </w:p>
        </w:tc>
      </w:tr>
      <w:tr w:rsidR="00DE2902" w14:paraId="2112F1D6" w14:textId="77777777" w:rsidTr="0002202F">
        <w:tc>
          <w:tcPr>
            <w:tcW w:w="2835" w:type="dxa"/>
          </w:tcPr>
          <w:p w14:paraId="578D4D92" w14:textId="77777777" w:rsidR="00DE2902" w:rsidRDefault="00DE2902" w:rsidP="00B46882">
            <w:pPr>
              <w:spacing w:before="40" w:after="40"/>
              <w:rPr>
                <w:rFonts w:cs="Arial"/>
              </w:rPr>
            </w:pPr>
            <w:r>
              <w:rPr>
                <w:rFonts w:cs="Arial"/>
              </w:rPr>
              <w:t>PUBLIC</w:t>
            </w:r>
          </w:p>
        </w:tc>
        <w:tc>
          <w:tcPr>
            <w:tcW w:w="7230" w:type="dxa"/>
          </w:tcPr>
          <w:p w14:paraId="62E5B30D" w14:textId="77777777" w:rsidR="00DE2902" w:rsidRDefault="00DE2902" w:rsidP="00B46882">
            <w:pPr>
              <w:spacing w:before="40" w:after="40"/>
              <w:rPr>
                <w:rFonts w:cs="Arial"/>
              </w:rPr>
            </w:pPr>
            <w:r>
              <w:rPr>
                <w:rFonts w:cs="Arial"/>
              </w:rPr>
              <w:t>Information which can be freely published</w:t>
            </w:r>
          </w:p>
        </w:tc>
      </w:tr>
      <w:tr w:rsidR="00DE2902" w14:paraId="04F26F69" w14:textId="77777777" w:rsidTr="0002202F">
        <w:tc>
          <w:tcPr>
            <w:tcW w:w="2835" w:type="dxa"/>
          </w:tcPr>
          <w:p w14:paraId="6ED458BC" w14:textId="77777777" w:rsidR="00DE2902" w:rsidRDefault="00DE2902" w:rsidP="00B46882">
            <w:pPr>
              <w:spacing w:before="40" w:after="40"/>
              <w:rPr>
                <w:rFonts w:cs="Arial"/>
              </w:rPr>
            </w:pPr>
            <w:r>
              <w:rPr>
                <w:rFonts w:cs="Arial"/>
              </w:rPr>
              <w:t>UNCLASSIFIED</w:t>
            </w:r>
          </w:p>
        </w:tc>
        <w:tc>
          <w:tcPr>
            <w:tcW w:w="7230" w:type="dxa"/>
          </w:tcPr>
          <w:p w14:paraId="635D14C3" w14:textId="26F4AC09" w:rsidR="00DE2902" w:rsidRDefault="00DE2902" w:rsidP="00B46882">
            <w:pPr>
              <w:spacing w:before="40" w:after="40"/>
              <w:rPr>
                <w:rFonts w:cs="Arial"/>
              </w:rPr>
            </w:pPr>
            <w:r>
              <w:rPr>
                <w:rFonts w:cs="Arial"/>
              </w:rPr>
              <w:t xml:space="preserve">Official information which does </w:t>
            </w:r>
            <w:r w:rsidRPr="00B46882">
              <w:rPr>
                <w:rFonts w:cs="Arial"/>
                <w:b/>
              </w:rPr>
              <w:t>not</w:t>
            </w:r>
            <w:r>
              <w:rPr>
                <w:rFonts w:cs="Arial"/>
              </w:rPr>
              <w:t xml:space="preserve"> require a security classification (though may be marked with a </w:t>
            </w:r>
            <w:r w:rsidRPr="00246813">
              <w:t>Dissemination Limiting Marker (DLM)</w:t>
            </w:r>
            <w:r w:rsidR="00C3405C">
              <w:t>)</w:t>
            </w:r>
            <w:r>
              <w:rPr>
                <w:rFonts w:cs="Arial"/>
              </w:rPr>
              <w:t xml:space="preserve">. For internal NTG use only. Must be examined and deemed </w:t>
            </w:r>
            <w:r w:rsidR="00B46882" w:rsidRPr="00B46882">
              <w:rPr>
                <w:rFonts w:cs="Arial"/>
                <w:b/>
              </w:rPr>
              <w:t>public</w:t>
            </w:r>
            <w:r>
              <w:rPr>
                <w:rFonts w:cs="Arial"/>
              </w:rPr>
              <w:t xml:space="preserve"> before release.</w:t>
            </w:r>
          </w:p>
        </w:tc>
      </w:tr>
      <w:tr w:rsidR="00DE2902" w14:paraId="1C6A3FEA" w14:textId="77777777" w:rsidTr="0002202F">
        <w:tc>
          <w:tcPr>
            <w:tcW w:w="2835" w:type="dxa"/>
          </w:tcPr>
          <w:p w14:paraId="63A8B834" w14:textId="77777777" w:rsidR="00DE2902" w:rsidRDefault="00DE2902" w:rsidP="00B46882">
            <w:pPr>
              <w:spacing w:before="40" w:after="40"/>
              <w:rPr>
                <w:rFonts w:cs="Arial"/>
              </w:rPr>
            </w:pPr>
            <w:r>
              <w:rPr>
                <w:rFonts w:cs="Arial"/>
              </w:rPr>
              <w:lastRenderedPageBreak/>
              <w:t>PROTECTED</w:t>
            </w:r>
            <w:r>
              <w:rPr>
                <w:rFonts w:cs="Arial"/>
              </w:rPr>
              <w:br/>
              <w:t>(Security Classification)</w:t>
            </w:r>
          </w:p>
        </w:tc>
        <w:tc>
          <w:tcPr>
            <w:tcW w:w="7230" w:type="dxa"/>
          </w:tcPr>
          <w:p w14:paraId="5AAF9169" w14:textId="77777777" w:rsidR="00DE2902" w:rsidRDefault="00DE2902" w:rsidP="00B46882">
            <w:pPr>
              <w:spacing w:before="40" w:after="40"/>
              <w:rPr>
                <w:rFonts w:cs="Arial"/>
              </w:rPr>
            </w:pPr>
            <w:r>
              <w:rPr>
                <w:rFonts w:cs="Arial"/>
              </w:rPr>
              <w:t>Where compromise could cause damage to the national interest, organisations or individuals</w:t>
            </w:r>
          </w:p>
        </w:tc>
      </w:tr>
      <w:tr w:rsidR="00DE2902" w14:paraId="67109235" w14:textId="77777777" w:rsidTr="0002202F">
        <w:tc>
          <w:tcPr>
            <w:tcW w:w="2835" w:type="dxa"/>
          </w:tcPr>
          <w:p w14:paraId="3322B486" w14:textId="77777777" w:rsidR="00DE2902" w:rsidRDefault="00DE2902" w:rsidP="00B46882">
            <w:pPr>
              <w:spacing w:before="40" w:after="40"/>
              <w:rPr>
                <w:rFonts w:cs="Arial"/>
              </w:rPr>
            </w:pPr>
            <w:r>
              <w:rPr>
                <w:rFonts w:cs="Arial"/>
              </w:rPr>
              <w:t>CONFIDENTIAL</w:t>
            </w:r>
            <w:r>
              <w:rPr>
                <w:rFonts w:cs="Arial"/>
              </w:rPr>
              <w:br/>
              <w:t>(Security Classification)</w:t>
            </w:r>
          </w:p>
        </w:tc>
        <w:tc>
          <w:tcPr>
            <w:tcW w:w="7230" w:type="dxa"/>
          </w:tcPr>
          <w:p w14:paraId="55743B37" w14:textId="77777777" w:rsidR="00DE2902" w:rsidRDefault="00DE2902" w:rsidP="00B46882">
            <w:pPr>
              <w:spacing w:before="40" w:after="40"/>
              <w:rPr>
                <w:rFonts w:cs="Arial"/>
              </w:rPr>
            </w:pPr>
            <w:r>
              <w:rPr>
                <w:rFonts w:cs="Arial"/>
              </w:rPr>
              <w:t>Where compromise could cause significant damage to the national interest, organisations or individuals</w:t>
            </w:r>
          </w:p>
        </w:tc>
      </w:tr>
      <w:tr w:rsidR="00DE2902" w14:paraId="2F398C87" w14:textId="77777777" w:rsidTr="0002202F">
        <w:tc>
          <w:tcPr>
            <w:tcW w:w="2835" w:type="dxa"/>
          </w:tcPr>
          <w:p w14:paraId="01C5E44F" w14:textId="77777777" w:rsidR="00DE2902" w:rsidRDefault="00DE2902" w:rsidP="00B46882">
            <w:pPr>
              <w:spacing w:before="40" w:after="40"/>
              <w:rPr>
                <w:rFonts w:cs="Arial"/>
              </w:rPr>
            </w:pPr>
            <w:r>
              <w:rPr>
                <w:rFonts w:cs="Arial"/>
              </w:rPr>
              <w:t>SECRET</w:t>
            </w:r>
            <w:r>
              <w:rPr>
                <w:rFonts w:cs="Arial"/>
              </w:rPr>
              <w:br/>
              <w:t>(Security Classification)</w:t>
            </w:r>
          </w:p>
        </w:tc>
        <w:tc>
          <w:tcPr>
            <w:tcW w:w="7230" w:type="dxa"/>
          </w:tcPr>
          <w:p w14:paraId="1FD45124" w14:textId="77777777" w:rsidR="00DE2902" w:rsidRDefault="00DE2902" w:rsidP="00B46882">
            <w:pPr>
              <w:spacing w:before="40" w:after="40"/>
              <w:rPr>
                <w:rFonts w:cs="Arial"/>
              </w:rPr>
            </w:pPr>
            <w:r>
              <w:rPr>
                <w:rFonts w:cs="Arial"/>
              </w:rPr>
              <w:t>Where compromise could cause serious damage to the national interest, important economic and commercial interests or threaten life.</w:t>
            </w:r>
          </w:p>
        </w:tc>
      </w:tr>
      <w:tr w:rsidR="00DE2902" w14:paraId="5FD7E6AA" w14:textId="77777777" w:rsidTr="0002202F">
        <w:tc>
          <w:tcPr>
            <w:tcW w:w="2835" w:type="dxa"/>
          </w:tcPr>
          <w:p w14:paraId="4DD0D53C" w14:textId="77777777" w:rsidR="00DE2902" w:rsidRDefault="00DE2902" w:rsidP="00B46882">
            <w:pPr>
              <w:spacing w:before="40" w:after="40"/>
              <w:rPr>
                <w:rFonts w:cs="Arial"/>
              </w:rPr>
            </w:pPr>
            <w:r>
              <w:rPr>
                <w:rFonts w:cs="Arial"/>
              </w:rPr>
              <w:t>TOP SECRET</w:t>
            </w:r>
            <w:r>
              <w:rPr>
                <w:rFonts w:cs="Arial"/>
              </w:rPr>
              <w:br/>
              <w:t>(Security Classification)</w:t>
            </w:r>
          </w:p>
        </w:tc>
        <w:tc>
          <w:tcPr>
            <w:tcW w:w="7230" w:type="dxa"/>
          </w:tcPr>
          <w:p w14:paraId="5F912F7E" w14:textId="77777777" w:rsidR="00DE2902" w:rsidRDefault="00DE2902" w:rsidP="00B46882">
            <w:pPr>
              <w:spacing w:before="40" w:after="40"/>
              <w:rPr>
                <w:rFonts w:cs="Arial"/>
              </w:rPr>
            </w:pPr>
            <w:r>
              <w:rPr>
                <w:rFonts w:cs="Arial"/>
              </w:rPr>
              <w:t>Where compromise could cause exceptionally grave damage to the national interest.</w:t>
            </w:r>
          </w:p>
        </w:tc>
      </w:tr>
    </w:tbl>
    <w:p w14:paraId="683D760B" w14:textId="0946864F" w:rsidR="0099105E" w:rsidRDefault="00D55C02" w:rsidP="0074582B">
      <w:pPr>
        <w:pStyle w:val="NumberedPara"/>
        <w:numPr>
          <w:ilvl w:val="0"/>
          <w:numId w:val="31"/>
        </w:numPr>
      </w:pPr>
      <w:r>
        <w:t>Security classifications</w:t>
      </w:r>
      <w:r w:rsidR="0099105E">
        <w:t xml:space="preserve"> are to be determined in line with the degree of protection the information in the record requires.</w:t>
      </w:r>
    </w:p>
    <w:p w14:paraId="18E67DE8" w14:textId="77777777" w:rsidR="00D55C02" w:rsidRDefault="00D55C02" w:rsidP="0074582B">
      <w:pPr>
        <w:pStyle w:val="NumberedPara"/>
        <w:numPr>
          <w:ilvl w:val="0"/>
          <w:numId w:val="31"/>
        </w:numPr>
      </w:pPr>
      <w:r w:rsidRPr="00F80A59">
        <w:t>Records should only be security classified when the consequences of compromise warrant the expense and effort of increased security protection.</w:t>
      </w:r>
    </w:p>
    <w:p w14:paraId="5D78F510" w14:textId="77777777" w:rsidR="0099105E" w:rsidRDefault="0099105E" w:rsidP="0074582B">
      <w:pPr>
        <w:pStyle w:val="NumberedPara"/>
        <w:numPr>
          <w:ilvl w:val="0"/>
          <w:numId w:val="31"/>
        </w:numPr>
      </w:pPr>
      <w:r w:rsidRPr="00F80A59">
        <w:t xml:space="preserve">When a decision is made to security classify a record, an organisation </w:t>
      </w:r>
      <w:r w:rsidR="00472F28">
        <w:t>should</w:t>
      </w:r>
      <w:r w:rsidRPr="00F80A59">
        <w:t xml:space="preserve"> consider whether a time limit for the classification be set.</w:t>
      </w:r>
    </w:p>
    <w:p w14:paraId="045E411B" w14:textId="4C1F5501" w:rsidR="00100146" w:rsidRDefault="00606F52" w:rsidP="00F076B1">
      <w:pPr>
        <w:pStyle w:val="RuleStatement"/>
      </w:pPr>
      <w:bookmarkStart w:id="346" w:name="_Toc475034579"/>
      <w:bookmarkStart w:id="347" w:name="_Toc475034841"/>
      <w:r>
        <w:t>6.4.3</w:t>
      </w:r>
      <w:r w:rsidR="001C2466">
        <w:t>.2</w:t>
      </w:r>
      <w:r w:rsidR="001C2466">
        <w:tab/>
      </w:r>
      <w:r w:rsidR="00100146" w:rsidRPr="00246813">
        <w:t xml:space="preserve">Security classifications </w:t>
      </w:r>
      <w:r w:rsidR="002F25BB">
        <w:t>must be</w:t>
      </w:r>
      <w:r w:rsidR="00100146" w:rsidRPr="00246813">
        <w:t xml:space="preserve"> applied by the originator of the document</w:t>
      </w:r>
      <w:r w:rsidR="00D55C02">
        <w:t xml:space="preserve"> at the time it is created or received</w:t>
      </w:r>
      <w:r w:rsidR="00100146" w:rsidRPr="00246813">
        <w:t>.</w:t>
      </w:r>
      <w:bookmarkEnd w:id="346"/>
      <w:bookmarkEnd w:id="347"/>
    </w:p>
    <w:p w14:paraId="6ED01656" w14:textId="65DA3EC2" w:rsidR="00687169" w:rsidRDefault="00687169" w:rsidP="00F076B1">
      <w:pPr>
        <w:pStyle w:val="RuleStatement"/>
      </w:pPr>
      <w:r>
        <w:t>6.4.</w:t>
      </w:r>
      <w:r w:rsidR="00606F52">
        <w:t>3</w:t>
      </w:r>
      <w:r>
        <w:t>.</w:t>
      </w:r>
      <w:r w:rsidR="00606F52">
        <w:t>3</w:t>
      </w:r>
      <w:r>
        <w:tab/>
      </w:r>
      <w:r w:rsidRPr="00246813">
        <w:t>The default classification for documents will be UNCLASSIFIED, with the creator of the document required to assess whether an alternative classification or DLM is required.</w:t>
      </w:r>
    </w:p>
    <w:p w14:paraId="3FF5D814" w14:textId="77777777" w:rsidR="00687169" w:rsidRDefault="00687169" w:rsidP="0074582B">
      <w:pPr>
        <w:pStyle w:val="NumberedPara"/>
        <w:numPr>
          <w:ilvl w:val="0"/>
          <w:numId w:val="32"/>
        </w:numPr>
      </w:pPr>
      <w:r w:rsidRPr="002C0C67">
        <w:t xml:space="preserve">The vast majority of </w:t>
      </w:r>
      <w:r>
        <w:t>NTG PSO</w:t>
      </w:r>
      <w:r w:rsidRPr="002C0C67">
        <w:t xml:space="preserve"> records </w:t>
      </w:r>
      <w:r>
        <w:t>will</w:t>
      </w:r>
      <w:r w:rsidRPr="002C0C67">
        <w:t xml:space="preserve"> fit into </w:t>
      </w:r>
      <w:r>
        <w:t xml:space="preserve">the UNCLASSIFIED </w:t>
      </w:r>
      <w:r w:rsidRPr="002C0C67">
        <w:t>classification.</w:t>
      </w:r>
    </w:p>
    <w:p w14:paraId="556F5467" w14:textId="77777777" w:rsidR="00687169" w:rsidRDefault="00687169" w:rsidP="0074582B">
      <w:pPr>
        <w:pStyle w:val="NumberedPara"/>
        <w:numPr>
          <w:ilvl w:val="0"/>
          <w:numId w:val="32"/>
        </w:numPr>
      </w:pPr>
      <w:r>
        <w:t xml:space="preserve">The </w:t>
      </w:r>
      <w:r w:rsidRPr="002C0C67">
        <w:t xml:space="preserve">classification of </w:t>
      </w:r>
      <w:r>
        <w:t>UNCLASSIFIED</w:t>
      </w:r>
      <w:r w:rsidRPr="002C0C67">
        <w:t xml:space="preserve"> </w:t>
      </w:r>
      <w:r>
        <w:t xml:space="preserve">is </w:t>
      </w:r>
      <w:r w:rsidRPr="002C0C67">
        <w:t xml:space="preserve">applied to records </w:t>
      </w:r>
      <w:r>
        <w:t xml:space="preserve">and information not requiring a security classification. Although the information does </w:t>
      </w:r>
      <w:r w:rsidRPr="00BD52A6">
        <w:t>not require a security classification</w:t>
      </w:r>
      <w:r>
        <w:t xml:space="preserve"> it</w:t>
      </w:r>
      <w:r w:rsidRPr="00BD52A6">
        <w:t xml:space="preserve"> may still be of a sensitive nature </w:t>
      </w:r>
      <w:r>
        <w:t>which</w:t>
      </w:r>
      <w:r w:rsidRPr="00BD52A6">
        <w:t xml:space="preserve"> require</w:t>
      </w:r>
      <w:r>
        <w:t>s</w:t>
      </w:r>
      <w:r w:rsidRPr="00BD52A6">
        <w:t xml:space="preserve"> protection through the use of a DLM.</w:t>
      </w:r>
    </w:p>
    <w:p w14:paraId="2B05C4CB" w14:textId="77777777" w:rsidR="00687169" w:rsidRDefault="00687169" w:rsidP="0074582B">
      <w:pPr>
        <w:pStyle w:val="NumberedPara"/>
        <w:numPr>
          <w:ilvl w:val="0"/>
          <w:numId w:val="32"/>
        </w:numPr>
      </w:pPr>
      <w:r w:rsidRPr="00246813">
        <w:t xml:space="preserve">Documents at the UNCLASSIFIED level are not open for immediate public release. A change of classification to PUBLIC </w:t>
      </w:r>
      <w:r>
        <w:t>is</w:t>
      </w:r>
      <w:r w:rsidR="00796423">
        <w:t xml:space="preserve"> required</w:t>
      </w:r>
      <w:r w:rsidRPr="00246813">
        <w:t xml:space="preserve"> before release or publication.</w:t>
      </w:r>
      <w:r>
        <w:t xml:space="preserve"> </w:t>
      </w:r>
    </w:p>
    <w:p w14:paraId="175B5D44" w14:textId="77777777" w:rsidR="00687169" w:rsidRPr="00687169" w:rsidRDefault="00687169" w:rsidP="0074582B">
      <w:pPr>
        <w:pStyle w:val="NumberedPara"/>
        <w:numPr>
          <w:ilvl w:val="0"/>
          <w:numId w:val="32"/>
        </w:numPr>
      </w:pPr>
      <w:r>
        <w:t>UNCLASSIFIED and PUBLIC records may remain unmarked.</w:t>
      </w:r>
    </w:p>
    <w:p w14:paraId="065C66FB" w14:textId="09A6A879" w:rsidR="00CF3DFF" w:rsidRDefault="00606F52" w:rsidP="00F076B1">
      <w:pPr>
        <w:pStyle w:val="RuleStatement"/>
      </w:pPr>
      <w:bookmarkStart w:id="348" w:name="_Toc475034313"/>
      <w:bookmarkStart w:id="349" w:name="_Toc475034580"/>
      <w:bookmarkStart w:id="350" w:name="_Toc475034842"/>
      <w:bookmarkEnd w:id="348"/>
      <w:bookmarkEnd w:id="349"/>
      <w:bookmarkEnd w:id="350"/>
      <w:r>
        <w:t>6.4.3</w:t>
      </w:r>
      <w:r w:rsidR="001C2466">
        <w:t>.</w:t>
      </w:r>
      <w:r>
        <w:t>4</w:t>
      </w:r>
      <w:r w:rsidR="001C2466">
        <w:tab/>
      </w:r>
      <w:bookmarkStart w:id="351" w:name="_Toc475034581"/>
      <w:bookmarkStart w:id="352" w:name="_Toc475034843"/>
      <w:r w:rsidR="00C15186">
        <w:t>All Cabinet documents and associated records are to be marked as ‘Sensitive: Cabinet’ and carry a security classification of at least PROTECTED or higher.</w:t>
      </w:r>
      <w:bookmarkEnd w:id="351"/>
      <w:bookmarkEnd w:id="352"/>
    </w:p>
    <w:p w14:paraId="442FEAAE" w14:textId="77777777" w:rsidR="00814580" w:rsidRPr="00246813" w:rsidRDefault="00814580" w:rsidP="0074582B">
      <w:pPr>
        <w:pStyle w:val="NumberedPara"/>
        <w:numPr>
          <w:ilvl w:val="0"/>
          <w:numId w:val="33"/>
        </w:numPr>
      </w:pPr>
      <w:bookmarkStart w:id="353" w:name="_Toc475034582"/>
      <w:bookmarkStart w:id="354" w:name="_Toc475034844"/>
      <w:r w:rsidRPr="00246813">
        <w:t xml:space="preserve">Some classes of law enforcement information </w:t>
      </w:r>
      <w:r w:rsidR="00B7773D">
        <w:t xml:space="preserve">may </w:t>
      </w:r>
      <w:r w:rsidRPr="00246813">
        <w:t>have a minimum classification of PROTECTED.</w:t>
      </w:r>
      <w:bookmarkEnd w:id="353"/>
      <w:bookmarkEnd w:id="354"/>
    </w:p>
    <w:p w14:paraId="3CD60D82" w14:textId="2ABE945E" w:rsidR="00CF3DFF" w:rsidRDefault="00606F52" w:rsidP="00F076B1">
      <w:pPr>
        <w:pStyle w:val="RuleStatement"/>
      </w:pPr>
      <w:bookmarkStart w:id="355" w:name="_Toc475034585"/>
      <w:bookmarkStart w:id="356" w:name="_Toc475034847"/>
      <w:r>
        <w:t>6.4.3</w:t>
      </w:r>
      <w:r w:rsidR="001C2466">
        <w:t>.</w:t>
      </w:r>
      <w:r>
        <w:t>5</w:t>
      </w:r>
      <w:r w:rsidR="001C2466">
        <w:tab/>
      </w:r>
      <w:r w:rsidR="00814580" w:rsidRPr="00246813">
        <w:t>Use of CONFIDENTIAL, SECRET and TOP SECRET classifications, which are considered national security classifications, is limited within the NTG.</w:t>
      </w:r>
      <w:bookmarkEnd w:id="355"/>
      <w:bookmarkEnd w:id="356"/>
    </w:p>
    <w:p w14:paraId="7AD11BD9" w14:textId="77777777" w:rsidR="00814580" w:rsidRDefault="00814580" w:rsidP="0074582B">
      <w:pPr>
        <w:pStyle w:val="NumberedPara"/>
        <w:numPr>
          <w:ilvl w:val="0"/>
          <w:numId w:val="34"/>
        </w:numPr>
      </w:pPr>
      <w:r w:rsidRPr="00246813">
        <w:t>Refer to the Australian Government guides listed as key references for more information and guidance on use of these classifications.</w:t>
      </w:r>
    </w:p>
    <w:p w14:paraId="43265C0D" w14:textId="2F34FCF4" w:rsidR="00814580" w:rsidRPr="0090341E" w:rsidRDefault="00537992" w:rsidP="00B46882">
      <w:pPr>
        <w:pStyle w:val="Heading3"/>
      </w:pPr>
      <w:bookmarkStart w:id="357" w:name="_Toc506462948"/>
      <w:r>
        <w:lastRenderedPageBreak/>
        <w:t>NTG PSO</w:t>
      </w:r>
      <w:r w:rsidR="00801D28">
        <w:t>:</w:t>
      </w:r>
      <w:r>
        <w:t xml:space="preserve"> </w:t>
      </w:r>
      <w:r w:rsidR="00814580" w:rsidRPr="0090341E">
        <w:t xml:space="preserve">Dissemination </w:t>
      </w:r>
      <w:r w:rsidR="001D21D4">
        <w:t>l</w:t>
      </w:r>
      <w:r w:rsidR="00814580" w:rsidRPr="0090341E">
        <w:t xml:space="preserve">imiting </w:t>
      </w:r>
      <w:r w:rsidR="001D21D4">
        <w:t>m</w:t>
      </w:r>
      <w:r w:rsidR="00814580" w:rsidRPr="0090341E">
        <w:t>arkers</w:t>
      </w:r>
      <w:bookmarkEnd w:id="357"/>
    </w:p>
    <w:p w14:paraId="31A64141" w14:textId="604C3F54" w:rsidR="00814580" w:rsidRPr="00246813" w:rsidRDefault="00606F52" w:rsidP="00F076B1">
      <w:pPr>
        <w:pStyle w:val="RuleStatement"/>
      </w:pPr>
      <w:r>
        <w:t>6.4.4</w:t>
      </w:r>
      <w:r w:rsidR="001C2466">
        <w:t>.1</w:t>
      </w:r>
      <w:r w:rsidR="001C2466">
        <w:tab/>
      </w:r>
      <w:bookmarkStart w:id="358" w:name="_Toc475034320"/>
      <w:bookmarkStart w:id="359" w:name="_Toc475034587"/>
      <w:bookmarkStart w:id="360" w:name="_Toc475034849"/>
      <w:bookmarkStart w:id="361" w:name="_Toc475034321"/>
      <w:bookmarkStart w:id="362" w:name="_Toc475034588"/>
      <w:bookmarkStart w:id="363" w:name="_Toc475034850"/>
      <w:bookmarkStart w:id="364" w:name="_Toc475034322"/>
      <w:bookmarkStart w:id="365" w:name="_Toc475034589"/>
      <w:bookmarkStart w:id="366" w:name="_Toc475034851"/>
      <w:bookmarkStart w:id="367" w:name="_Toc475034323"/>
      <w:bookmarkStart w:id="368" w:name="_Toc475034590"/>
      <w:bookmarkStart w:id="369" w:name="_Toc475034852"/>
      <w:bookmarkStart w:id="370" w:name="_Toc475034324"/>
      <w:bookmarkStart w:id="371" w:name="_Toc475034591"/>
      <w:bookmarkStart w:id="372" w:name="_Toc475034853"/>
      <w:bookmarkStart w:id="373" w:name="_Toc475034325"/>
      <w:bookmarkStart w:id="374" w:name="_Toc475034592"/>
      <w:bookmarkStart w:id="375" w:name="_Toc475034854"/>
      <w:bookmarkStart w:id="376" w:name="_Toc475034326"/>
      <w:bookmarkStart w:id="377" w:name="_Toc475034593"/>
      <w:bookmarkStart w:id="378" w:name="_Toc475034855"/>
      <w:bookmarkStart w:id="379" w:name="_Toc475034594"/>
      <w:bookmarkStart w:id="380" w:name="_Toc475034856"/>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r w:rsidR="00814580" w:rsidRPr="00246813">
        <w:t>DLMs, other than F</w:t>
      </w:r>
      <w:r w:rsidR="00B7773D">
        <w:t xml:space="preserve">or </w:t>
      </w:r>
      <w:r w:rsidR="00814580" w:rsidRPr="00246813">
        <w:t>O</w:t>
      </w:r>
      <w:r w:rsidR="00B7773D">
        <w:t xml:space="preserve">fficial </w:t>
      </w:r>
      <w:r w:rsidR="00814580" w:rsidRPr="00246813">
        <w:t>U</w:t>
      </w:r>
      <w:r w:rsidR="00B7773D">
        <w:t xml:space="preserve">se </w:t>
      </w:r>
      <w:r w:rsidR="00814580" w:rsidRPr="00246813">
        <w:t>O</w:t>
      </w:r>
      <w:r w:rsidR="00B7773D">
        <w:t>nly (FOUO)</w:t>
      </w:r>
      <w:r w:rsidR="00814580" w:rsidRPr="00246813">
        <w:t>, must be used where disclosure of the information marked by the DLM may be limited or prohibited by legislation or regulation</w:t>
      </w:r>
      <w:r w:rsidR="0099105E">
        <w:t>,</w:t>
      </w:r>
      <w:r w:rsidR="0090341E">
        <w:t xml:space="preserve"> or </w:t>
      </w:r>
      <w:r w:rsidR="0083490F">
        <w:t>other legal obligation</w:t>
      </w:r>
      <w:r w:rsidR="00814580" w:rsidRPr="00246813">
        <w:t>.</w:t>
      </w:r>
      <w:bookmarkEnd w:id="379"/>
      <w:bookmarkEnd w:id="380"/>
    </w:p>
    <w:p w14:paraId="52222EFB" w14:textId="14E16756" w:rsidR="0090341E" w:rsidRDefault="0090341E" w:rsidP="0074582B">
      <w:pPr>
        <w:pStyle w:val="NumberedPara"/>
        <w:numPr>
          <w:ilvl w:val="0"/>
          <w:numId w:val="35"/>
        </w:numPr>
      </w:pPr>
      <w:r w:rsidRPr="0090341E">
        <w:t>The</w:t>
      </w:r>
      <w:r w:rsidRPr="00246813">
        <w:t xml:space="preserve"> PSPF defines a base set of DLMs:</w:t>
      </w:r>
      <w:r>
        <w:t xml:space="preserve"> </w:t>
      </w:r>
      <w:r w:rsidRPr="00814580">
        <w:t>FOUO</w:t>
      </w:r>
      <w:r>
        <w:t xml:space="preserve">; </w:t>
      </w:r>
      <w:r w:rsidRPr="00814580">
        <w:t>Sensitive</w:t>
      </w:r>
      <w:r>
        <w:t xml:space="preserve">; </w:t>
      </w:r>
      <w:r w:rsidRPr="00814580">
        <w:t>Sensitive: Cabinet</w:t>
      </w:r>
      <w:r>
        <w:t xml:space="preserve">; </w:t>
      </w:r>
      <w:r w:rsidRPr="00814580">
        <w:t>Sensitive: Legal</w:t>
      </w:r>
      <w:r>
        <w:t xml:space="preserve">; </w:t>
      </w:r>
      <w:r w:rsidRPr="00814580">
        <w:t>Sensitive: Personal</w:t>
      </w:r>
      <w:r w:rsidR="000857E8">
        <w:t>.</w:t>
      </w:r>
    </w:p>
    <w:p w14:paraId="04714142" w14:textId="1EE29670" w:rsidR="00E51B1A" w:rsidRPr="00814580" w:rsidRDefault="00E51B1A" w:rsidP="0074582B">
      <w:pPr>
        <w:pStyle w:val="NumberedPara"/>
        <w:numPr>
          <w:ilvl w:val="0"/>
          <w:numId w:val="35"/>
        </w:numPr>
      </w:pPr>
      <w:r w:rsidRPr="005C228E">
        <w:t>More than one DLM may be applied to documents where appropriate and justified</w:t>
      </w:r>
      <w:r w:rsidR="00DA551E">
        <w:t xml:space="preserve"> (Exclusion: FOUO</w:t>
      </w:r>
      <w:r w:rsidR="00773EAE">
        <w:t xml:space="preserve"> is used as a stand-alone marker only</w:t>
      </w:r>
      <w:r w:rsidR="00DA551E">
        <w:t>)</w:t>
      </w:r>
      <w:r>
        <w:t>.</w:t>
      </w:r>
    </w:p>
    <w:p w14:paraId="07E12DF0" w14:textId="19776F38" w:rsidR="005C228E" w:rsidRDefault="00814580" w:rsidP="0074582B">
      <w:pPr>
        <w:pStyle w:val="NumberedPara"/>
        <w:numPr>
          <w:ilvl w:val="0"/>
          <w:numId w:val="35"/>
        </w:numPr>
      </w:pPr>
      <w:r w:rsidRPr="00246813">
        <w:t xml:space="preserve">The NTG allows the </w:t>
      </w:r>
      <w:r w:rsidR="00FA21E9">
        <w:t xml:space="preserve">authorised </w:t>
      </w:r>
      <w:r w:rsidRPr="00246813">
        <w:t>definition of new DLMs if they are based on a legislative or regulatory requirement</w:t>
      </w:r>
      <w:r>
        <w:t>, or other legal obligation,</w:t>
      </w:r>
      <w:r w:rsidRPr="00246813">
        <w:t xml:space="preserve"> which is dependent on the information contained in the document</w:t>
      </w:r>
      <w:r>
        <w:t>.</w:t>
      </w:r>
    </w:p>
    <w:p w14:paraId="64AC0310" w14:textId="77777777" w:rsidR="005C228E" w:rsidRDefault="001440C9" w:rsidP="0074582B">
      <w:pPr>
        <w:pStyle w:val="NumberedPara"/>
        <w:numPr>
          <w:ilvl w:val="0"/>
          <w:numId w:val="35"/>
        </w:numPr>
      </w:pPr>
      <w:r>
        <w:t xml:space="preserve">A DLM should not reference </w:t>
      </w:r>
      <w:r w:rsidRPr="00246813">
        <w:t>the business unit responsible for the management of the information.</w:t>
      </w:r>
      <w:r>
        <w:t xml:space="preserve"> </w:t>
      </w:r>
      <w:r w:rsidR="00E51B1A">
        <w:t>System access controls should be used where access needs to be limited to organisational units.</w:t>
      </w:r>
    </w:p>
    <w:p w14:paraId="35FE6377" w14:textId="108802C0" w:rsidR="001440C9" w:rsidRDefault="001440C9" w:rsidP="0074582B">
      <w:pPr>
        <w:pStyle w:val="NumberedPara"/>
        <w:numPr>
          <w:ilvl w:val="0"/>
          <w:numId w:val="35"/>
        </w:numPr>
      </w:pPr>
      <w:r w:rsidRPr="00246813">
        <w:t>The “Sensitive” DLM</w:t>
      </w:r>
      <w:r>
        <w:t xml:space="preserve"> cannot be used without an annotation </w:t>
      </w:r>
      <w:r w:rsidR="005C228E">
        <w:t xml:space="preserve">that </w:t>
      </w:r>
      <w:r>
        <w:t xml:space="preserve">indicates the reason for the sensitive </w:t>
      </w:r>
      <w:r w:rsidRPr="00246813">
        <w:t>marking</w:t>
      </w:r>
      <w:r>
        <w:t xml:space="preserve"> of the document. Annotations may specifically, or in a generic manner, reference </w:t>
      </w:r>
      <w:r w:rsidRPr="00246813">
        <w:t xml:space="preserve">legislation </w:t>
      </w:r>
      <w:r>
        <w:t>and</w:t>
      </w:r>
      <w:r w:rsidRPr="00246813">
        <w:t xml:space="preserve"> regulation</w:t>
      </w:r>
      <w:r>
        <w:t xml:space="preserve">s, or </w:t>
      </w:r>
      <w:r w:rsidR="009805D4">
        <w:t>contractual arrangements</w:t>
      </w:r>
      <w:r>
        <w:t>,</w:t>
      </w:r>
      <w:r w:rsidRPr="00246813">
        <w:t xml:space="preserve"> </w:t>
      </w:r>
      <w:r>
        <w:t xml:space="preserve">which </w:t>
      </w:r>
      <w:r w:rsidRPr="00246813">
        <w:t>requir</w:t>
      </w:r>
      <w:r>
        <w:t>e the</w:t>
      </w:r>
      <w:r w:rsidRPr="00246813">
        <w:t xml:space="preserve"> protection of the information.</w:t>
      </w:r>
    </w:p>
    <w:p w14:paraId="13219C4D" w14:textId="0F4B46F0" w:rsidR="005C228E" w:rsidRDefault="00606F52" w:rsidP="00F076B1">
      <w:pPr>
        <w:pStyle w:val="RuleStatement"/>
      </w:pPr>
      <w:bookmarkStart w:id="381" w:name="_Toc475034328"/>
      <w:bookmarkStart w:id="382" w:name="_Toc475034595"/>
      <w:bookmarkStart w:id="383" w:name="_Toc475034857"/>
      <w:bookmarkStart w:id="384" w:name="_Toc475034597"/>
      <w:bookmarkStart w:id="385" w:name="_Toc475034859"/>
      <w:bookmarkEnd w:id="381"/>
      <w:bookmarkEnd w:id="382"/>
      <w:bookmarkEnd w:id="383"/>
      <w:r>
        <w:t>6.4.4.2</w:t>
      </w:r>
      <w:r w:rsidR="001C2466">
        <w:tab/>
      </w:r>
      <w:r w:rsidR="001440C9" w:rsidRPr="00246813">
        <w:t xml:space="preserve">FOUO </w:t>
      </w:r>
      <w:r w:rsidR="00E51B1A">
        <w:t>must</w:t>
      </w:r>
      <w:r w:rsidR="001440C9" w:rsidRPr="00246813">
        <w:t xml:space="preserve"> only be used to mark UNCLASSIFED information</w:t>
      </w:r>
      <w:r w:rsidR="00DA551E">
        <w:t xml:space="preserve"> and cannot be used in combination with another DLM</w:t>
      </w:r>
      <w:r w:rsidR="001440C9" w:rsidRPr="00246813">
        <w:t>.</w:t>
      </w:r>
      <w:bookmarkEnd w:id="384"/>
      <w:bookmarkEnd w:id="385"/>
    </w:p>
    <w:p w14:paraId="0B75F78A" w14:textId="77777777" w:rsidR="00E51B1A" w:rsidRDefault="00E51B1A" w:rsidP="0074582B">
      <w:pPr>
        <w:pStyle w:val="NumberedPara"/>
        <w:numPr>
          <w:ilvl w:val="0"/>
          <w:numId w:val="36"/>
        </w:numPr>
      </w:pPr>
      <w:r>
        <w:t xml:space="preserve">The </w:t>
      </w:r>
      <w:r w:rsidRPr="00246813">
        <w:t>FOUO</w:t>
      </w:r>
      <w:r>
        <w:t xml:space="preserve"> DLM</w:t>
      </w:r>
      <w:r w:rsidRPr="00246813">
        <w:t xml:space="preserve"> can be used</w:t>
      </w:r>
      <w:r w:rsidRPr="005C228E">
        <w:t xml:space="preserve"> </w:t>
      </w:r>
      <w:r>
        <w:t>w</w:t>
      </w:r>
      <w:r w:rsidRPr="00246813">
        <w:t>here no specific legislative or regulatory protec</w:t>
      </w:r>
      <w:r>
        <w:t xml:space="preserve">tion of information is required but </w:t>
      </w:r>
      <w:r w:rsidRPr="00246813">
        <w:t>the information is still considered sensitive.</w:t>
      </w:r>
    </w:p>
    <w:p w14:paraId="47A61A23" w14:textId="77777777" w:rsidR="001440C9" w:rsidRPr="005C228E" w:rsidRDefault="001440C9" w:rsidP="0074582B">
      <w:pPr>
        <w:pStyle w:val="NumberedPara"/>
        <w:numPr>
          <w:ilvl w:val="0"/>
          <w:numId w:val="36"/>
        </w:numPr>
      </w:pPr>
      <w:r w:rsidRPr="005C228E">
        <w:t>The FOUO DLM does not require an annotation as to the reason why the information has been marked.</w:t>
      </w:r>
    </w:p>
    <w:p w14:paraId="4A45829C" w14:textId="40FD7B54" w:rsidR="001440C9" w:rsidRDefault="00801D28" w:rsidP="00B46882">
      <w:pPr>
        <w:pStyle w:val="Heading3"/>
      </w:pPr>
      <w:bookmarkStart w:id="386" w:name="_Toc475034332"/>
      <w:bookmarkStart w:id="387" w:name="_Toc475034599"/>
      <w:bookmarkStart w:id="388" w:name="_Toc475034861"/>
      <w:bookmarkStart w:id="389" w:name="_Toc506462949"/>
      <w:bookmarkEnd w:id="386"/>
      <w:bookmarkEnd w:id="387"/>
      <w:bookmarkEnd w:id="388"/>
      <w:r>
        <w:t xml:space="preserve">NTG PSO: </w:t>
      </w:r>
      <w:r w:rsidR="001440C9" w:rsidRPr="00246813">
        <w:t>PSPF Caveats</w:t>
      </w:r>
      <w:bookmarkEnd w:id="389"/>
    </w:p>
    <w:p w14:paraId="67B088F7" w14:textId="5576ABD0" w:rsidR="00100146" w:rsidRDefault="00606F52" w:rsidP="00F076B1">
      <w:pPr>
        <w:pStyle w:val="RuleStatement"/>
      </w:pPr>
      <w:bookmarkStart w:id="390" w:name="_Toc475034601"/>
      <w:bookmarkStart w:id="391" w:name="_Toc475034863"/>
      <w:r>
        <w:t>6.4.5</w:t>
      </w:r>
      <w:r w:rsidR="001C2466">
        <w:t>.1</w:t>
      </w:r>
      <w:r w:rsidR="001C2466">
        <w:tab/>
      </w:r>
      <w:r w:rsidR="00537992">
        <w:t xml:space="preserve">NTG </w:t>
      </w:r>
      <w:r w:rsidR="00100146">
        <w:t xml:space="preserve">PSOs </w:t>
      </w:r>
      <w:r w:rsidR="00F023FE">
        <w:t>must</w:t>
      </w:r>
      <w:r w:rsidR="00100146">
        <w:t xml:space="preserve"> refer directly to the PSPF guides for a</w:t>
      </w:r>
      <w:r w:rsidR="00100146" w:rsidRPr="00246813">
        <w:t>dvice on caveats</w:t>
      </w:r>
      <w:r w:rsidR="00100146">
        <w:t xml:space="preserve"> as the </w:t>
      </w:r>
      <w:r w:rsidR="0099105E">
        <w:t>requ</w:t>
      </w:r>
      <w:r w:rsidR="00100146">
        <w:t>i</w:t>
      </w:r>
      <w:r w:rsidR="0099105E">
        <w:t>r</w:t>
      </w:r>
      <w:r w:rsidR="00100146">
        <w:t>ement</w:t>
      </w:r>
      <w:r w:rsidR="00100146" w:rsidRPr="00246813">
        <w:t xml:space="preserve"> within the NTG</w:t>
      </w:r>
      <w:r w:rsidR="00100146">
        <w:t xml:space="preserve"> is</w:t>
      </w:r>
      <w:r w:rsidR="00100146" w:rsidRPr="00246813">
        <w:t xml:space="preserve"> unlikely and if used, would be very limited.</w:t>
      </w:r>
      <w:bookmarkEnd w:id="390"/>
      <w:bookmarkEnd w:id="391"/>
    </w:p>
    <w:p w14:paraId="7A8353F4" w14:textId="77777777" w:rsidR="00100146" w:rsidRPr="00100146" w:rsidRDefault="00100146" w:rsidP="0074582B">
      <w:pPr>
        <w:pStyle w:val="NumberedPara"/>
        <w:numPr>
          <w:ilvl w:val="0"/>
          <w:numId w:val="37"/>
        </w:numPr>
      </w:pPr>
      <w:r w:rsidRPr="00100146">
        <w:t xml:space="preserve">Caveats, when described within the context of the PSPF, are supplementary markings which indicate additional special handling requirements. Examples of caveat categories include: </w:t>
      </w:r>
      <w:proofErr w:type="spellStart"/>
      <w:r w:rsidRPr="00100146">
        <w:t>Codewords</w:t>
      </w:r>
      <w:proofErr w:type="spellEnd"/>
      <w:r w:rsidRPr="00100146">
        <w:t xml:space="preserve">; Source </w:t>
      </w:r>
      <w:proofErr w:type="spellStart"/>
      <w:r w:rsidRPr="00100146">
        <w:t>Codewords</w:t>
      </w:r>
      <w:proofErr w:type="spellEnd"/>
      <w:r w:rsidRPr="00100146">
        <w:t>; Eyes Only; Australian Government Access Only; Releasable to; Accountable material.</w:t>
      </w:r>
    </w:p>
    <w:p w14:paraId="1B38AAE2" w14:textId="62AEF2DA" w:rsidR="004530A2" w:rsidRDefault="000857E8" w:rsidP="00B46882">
      <w:pPr>
        <w:pStyle w:val="Heading3"/>
      </w:pPr>
      <w:bookmarkStart w:id="392" w:name="_Toc475034335"/>
      <w:bookmarkStart w:id="393" w:name="_Toc475034602"/>
      <w:bookmarkStart w:id="394" w:name="_Toc475034864"/>
      <w:bookmarkStart w:id="395" w:name="_Toc475034336"/>
      <w:bookmarkStart w:id="396" w:name="_Toc475034603"/>
      <w:bookmarkStart w:id="397" w:name="_Toc475034865"/>
      <w:bookmarkStart w:id="398" w:name="_Toc475034337"/>
      <w:bookmarkStart w:id="399" w:name="_Toc475034604"/>
      <w:bookmarkStart w:id="400" w:name="_Toc475034866"/>
      <w:bookmarkStart w:id="401" w:name="_Toc475034338"/>
      <w:bookmarkStart w:id="402" w:name="_Toc475034605"/>
      <w:bookmarkStart w:id="403" w:name="_Toc475034867"/>
      <w:bookmarkStart w:id="404" w:name="_Toc475034339"/>
      <w:bookmarkStart w:id="405" w:name="_Toc475034606"/>
      <w:bookmarkStart w:id="406" w:name="_Toc475034868"/>
      <w:bookmarkStart w:id="407" w:name="_Toc475034340"/>
      <w:bookmarkStart w:id="408" w:name="_Toc475034607"/>
      <w:bookmarkStart w:id="409" w:name="_Toc475034869"/>
      <w:bookmarkStart w:id="410" w:name="_Toc475034341"/>
      <w:bookmarkStart w:id="411" w:name="_Toc475034608"/>
      <w:bookmarkStart w:id="412" w:name="_Toc475034870"/>
      <w:bookmarkStart w:id="413" w:name="_Toc475034342"/>
      <w:bookmarkStart w:id="414" w:name="_Toc475034609"/>
      <w:bookmarkStart w:id="415" w:name="_Toc475034871"/>
      <w:bookmarkStart w:id="416" w:name="_Toc475034343"/>
      <w:bookmarkStart w:id="417" w:name="_Toc475034610"/>
      <w:bookmarkStart w:id="418" w:name="_Toc475034872"/>
      <w:bookmarkStart w:id="419" w:name="_Toc454380862"/>
      <w:bookmarkStart w:id="420" w:name="_Toc506462950"/>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r>
        <w:t>Re</w:t>
      </w:r>
      <w:r w:rsidR="00A308B9">
        <w:t>c</w:t>
      </w:r>
      <w:r w:rsidR="001440C9">
        <w:t xml:space="preserve">lassification and </w:t>
      </w:r>
      <w:r w:rsidR="000A0800">
        <w:t>r</w:t>
      </w:r>
      <w:r w:rsidR="001440C9">
        <w:t xml:space="preserve">eview of </w:t>
      </w:r>
      <w:r w:rsidR="000A0800">
        <w:t>p</w:t>
      </w:r>
      <w:r w:rsidR="003876D8">
        <w:t xml:space="preserve">rotective </w:t>
      </w:r>
      <w:r w:rsidR="000A0800">
        <w:t>m</w:t>
      </w:r>
      <w:r w:rsidR="003876D8">
        <w:t>arkings</w:t>
      </w:r>
      <w:bookmarkEnd w:id="419"/>
      <w:bookmarkEnd w:id="420"/>
    </w:p>
    <w:p w14:paraId="680061A9" w14:textId="70284F4A" w:rsidR="004530A2" w:rsidRDefault="004530A2" w:rsidP="00F076B1">
      <w:pPr>
        <w:pStyle w:val="RuleStatement"/>
      </w:pPr>
      <w:r>
        <w:t>6</w:t>
      </w:r>
      <w:r w:rsidR="00606F52">
        <w:t>.4.6</w:t>
      </w:r>
      <w:r>
        <w:t>.</w:t>
      </w:r>
      <w:r w:rsidR="00606F52">
        <w:t>1</w:t>
      </w:r>
      <w:r>
        <w:tab/>
        <w:t>A PSO must have</w:t>
      </w:r>
      <w:r w:rsidRPr="00F80A59">
        <w:t xml:space="preserve"> procedures in place to review and declassify </w:t>
      </w:r>
      <w:r>
        <w:t xml:space="preserve">classified </w:t>
      </w:r>
      <w:r w:rsidRPr="00F80A59">
        <w:t>records</w:t>
      </w:r>
      <w:r>
        <w:t>.</w:t>
      </w:r>
    </w:p>
    <w:p w14:paraId="71AF8E1F" w14:textId="54D5AF79" w:rsidR="004530A2" w:rsidRDefault="004530A2" w:rsidP="0074582B">
      <w:pPr>
        <w:pStyle w:val="NumberedPara"/>
        <w:numPr>
          <w:ilvl w:val="0"/>
          <w:numId w:val="38"/>
        </w:numPr>
      </w:pPr>
      <w:r>
        <w:t>Records can be re</w:t>
      </w:r>
      <w:r w:rsidRPr="00F80A59">
        <w:t>classified if protection is no longer necessary or is no longer needed at the original level</w:t>
      </w:r>
      <w:r>
        <w:t>.</w:t>
      </w:r>
      <w:r w:rsidR="007453B5">
        <w:t xml:space="preserve"> Classifications should be reviewed when records become inactive or are transferred to secondary storage or the NT Archives</w:t>
      </w:r>
      <w:r w:rsidR="00BF4F99">
        <w:t xml:space="preserve"> Service</w:t>
      </w:r>
      <w:r w:rsidR="007453B5">
        <w:t>.</w:t>
      </w:r>
    </w:p>
    <w:p w14:paraId="76EC3385" w14:textId="794BE8A1" w:rsidR="004530A2" w:rsidRDefault="004530A2" w:rsidP="0074582B">
      <w:pPr>
        <w:pStyle w:val="NumberedPara"/>
        <w:numPr>
          <w:ilvl w:val="0"/>
          <w:numId w:val="38"/>
        </w:numPr>
      </w:pPr>
      <w:r>
        <w:t>If a record is transmitted to another PSO, only the originating organisation (</w:t>
      </w:r>
      <w:r w:rsidR="0041210E">
        <w:t>i.e.</w:t>
      </w:r>
      <w:r>
        <w:t xml:space="preserve">, the organisation </w:t>
      </w:r>
      <w:r>
        <w:lastRenderedPageBreak/>
        <w:t>that assigned the original classification) can rec</w:t>
      </w:r>
      <w:r w:rsidR="0041210E">
        <w:t>lassify or declassify a record.</w:t>
      </w:r>
    </w:p>
    <w:p w14:paraId="5E8163AF" w14:textId="6E42B344" w:rsidR="004530A2" w:rsidRDefault="004530A2" w:rsidP="0074582B">
      <w:pPr>
        <w:pStyle w:val="NumberedPara"/>
        <w:numPr>
          <w:ilvl w:val="0"/>
          <w:numId w:val="38"/>
        </w:numPr>
      </w:pPr>
      <w:r>
        <w:t>If an organisation is abolished or amalgamated, the organisation assuming the former agency’s responsibilities is deemed the originating organisation for the purpose of re</w:t>
      </w:r>
      <w:r w:rsidR="007E6B3A">
        <w:t>-</w:t>
      </w:r>
      <w:r>
        <w:t>classification and declassification.</w:t>
      </w:r>
    </w:p>
    <w:p w14:paraId="24DA1FD8" w14:textId="2DF2D550" w:rsidR="00F80A59" w:rsidRDefault="001440C9" w:rsidP="0074582B">
      <w:pPr>
        <w:pStyle w:val="NumberedPara"/>
        <w:numPr>
          <w:ilvl w:val="0"/>
          <w:numId w:val="38"/>
        </w:numPr>
      </w:pPr>
      <w:r w:rsidRPr="002C0C67">
        <w:t xml:space="preserve">Inappropriate over-classification </w:t>
      </w:r>
      <w:r w:rsidR="00F80A59">
        <w:t xml:space="preserve">can have </w:t>
      </w:r>
      <w:r w:rsidRPr="002C0C67">
        <w:t xml:space="preserve">detrimental effects, </w:t>
      </w:r>
      <w:proofErr w:type="spellStart"/>
      <w:r w:rsidRPr="002C0C67">
        <w:t>eg</w:t>
      </w:r>
      <w:proofErr w:type="spellEnd"/>
      <w:r w:rsidRPr="002C0C67">
        <w:t xml:space="preserve">, the volume of security classified records becomes too large for an organisation to protect adequately, or </w:t>
      </w:r>
      <w:r w:rsidR="00BC4ADA">
        <w:t xml:space="preserve">the discoverability of records is </w:t>
      </w:r>
      <w:r w:rsidR="0037283F">
        <w:t>impaired where the</w:t>
      </w:r>
      <w:r w:rsidRPr="002C0C67">
        <w:t xml:space="preserve"> classification is unwarranted</w:t>
      </w:r>
      <w:r w:rsidR="00F80A59">
        <w:t>.</w:t>
      </w:r>
      <w:r w:rsidRPr="002C0C67">
        <w:t xml:space="preserve"> </w:t>
      </w:r>
    </w:p>
    <w:p w14:paraId="487748D4" w14:textId="57EE1E46" w:rsidR="001440C9" w:rsidRPr="002C0C67" w:rsidRDefault="001C2466" w:rsidP="00F076B1">
      <w:pPr>
        <w:pStyle w:val="RuleStatement"/>
      </w:pPr>
      <w:r>
        <w:t>6.4.6.</w:t>
      </w:r>
      <w:r w:rsidR="00533607">
        <w:t>2</w:t>
      </w:r>
      <w:r>
        <w:tab/>
      </w:r>
      <w:bookmarkStart w:id="421" w:name="_Toc475034616"/>
      <w:bookmarkStart w:id="422" w:name="_Toc475034878"/>
      <w:r w:rsidR="001440C9" w:rsidRPr="002C0C67">
        <w:t xml:space="preserve">Records </w:t>
      </w:r>
      <w:r w:rsidR="00C63580">
        <w:t>must</w:t>
      </w:r>
      <w:r w:rsidR="001440C9" w:rsidRPr="002C0C67">
        <w:t xml:space="preserve"> be declassified or downgraded when protection is no longer necessary or is no longer needed at the original level.</w:t>
      </w:r>
      <w:bookmarkEnd w:id="421"/>
      <w:bookmarkEnd w:id="422"/>
      <w:r w:rsidR="001440C9" w:rsidRPr="002C0C67">
        <w:t xml:space="preserve"> </w:t>
      </w:r>
    </w:p>
    <w:p w14:paraId="215A3601" w14:textId="77777777" w:rsidR="0041210E" w:rsidRPr="0041210E" w:rsidRDefault="0041210E" w:rsidP="0041210E">
      <w:bookmarkStart w:id="423" w:name="_Toc475034350"/>
      <w:bookmarkStart w:id="424" w:name="_Toc475034617"/>
      <w:bookmarkStart w:id="425" w:name="_Toc475034879"/>
      <w:bookmarkStart w:id="426" w:name="_Toc454380863"/>
      <w:bookmarkEnd w:id="423"/>
      <w:bookmarkEnd w:id="424"/>
      <w:bookmarkEnd w:id="425"/>
      <w:r w:rsidRPr="0041210E">
        <w:br w:type="page"/>
      </w:r>
    </w:p>
    <w:p w14:paraId="2331D9AA" w14:textId="6EF07489" w:rsidR="004B24EF" w:rsidRPr="004A5BDC" w:rsidRDefault="0041210E" w:rsidP="00B46882">
      <w:pPr>
        <w:pStyle w:val="Heading3"/>
      </w:pPr>
      <w:bookmarkStart w:id="427" w:name="_Toc506462951"/>
      <w:r>
        <w:lastRenderedPageBreak/>
        <w:t>Physical s</w:t>
      </w:r>
      <w:r w:rsidR="004B24EF" w:rsidRPr="004A5BDC">
        <w:t>ecurity</w:t>
      </w:r>
      <w:bookmarkEnd w:id="426"/>
      <w:bookmarkEnd w:id="427"/>
    </w:p>
    <w:p w14:paraId="4A7810C5" w14:textId="19B3A8E7" w:rsidR="00F80A59" w:rsidRDefault="001C2466" w:rsidP="00D617C8">
      <w:pPr>
        <w:pStyle w:val="RuleStatement"/>
        <w:spacing w:before="0" w:after="180"/>
      </w:pPr>
      <w:r>
        <w:t>6.4.7.1</w:t>
      </w:r>
      <w:r>
        <w:tab/>
      </w:r>
      <w:bookmarkStart w:id="428" w:name="_Toc475034352"/>
      <w:bookmarkStart w:id="429" w:name="_Toc475034619"/>
      <w:bookmarkStart w:id="430" w:name="_Toc475034881"/>
      <w:bookmarkStart w:id="431" w:name="_Toc475034620"/>
      <w:bookmarkStart w:id="432" w:name="_Toc475034882"/>
      <w:bookmarkEnd w:id="428"/>
      <w:bookmarkEnd w:id="429"/>
      <w:bookmarkEnd w:id="430"/>
      <w:r w:rsidR="004B24EF">
        <w:t xml:space="preserve">Access to </w:t>
      </w:r>
      <w:r w:rsidR="004B24EF" w:rsidRPr="00F076B1">
        <w:t>areas</w:t>
      </w:r>
      <w:r w:rsidR="004B24EF">
        <w:t xml:space="preserve"> where security classified records are held or used must be restricted.</w:t>
      </w:r>
      <w:bookmarkEnd w:id="431"/>
      <w:bookmarkEnd w:id="432"/>
    </w:p>
    <w:p w14:paraId="36AA1FE3" w14:textId="650C56D1" w:rsidR="007806A9" w:rsidRPr="00010FD9" w:rsidRDefault="0094575C" w:rsidP="0074582B">
      <w:pPr>
        <w:pStyle w:val="NumberedPara"/>
        <w:numPr>
          <w:ilvl w:val="0"/>
          <w:numId w:val="39"/>
        </w:numPr>
        <w:spacing w:before="0" w:after="180"/>
      </w:pPr>
      <w:r>
        <w:t xml:space="preserve">All the organisation’s systems, workplaces and storage areas which contain official records are </w:t>
      </w:r>
      <w:r w:rsidR="0099105E">
        <w:t xml:space="preserve">to be </w:t>
      </w:r>
      <w:r>
        <w:t xml:space="preserve">designed and managed to protect them from unauthorised access, alteration or deletion, and </w:t>
      </w:r>
      <w:r w:rsidR="00653C42">
        <w:t>personnel</w:t>
      </w:r>
      <w:r>
        <w:t xml:space="preserve"> are aware of and follow the procedures to ensure this.</w:t>
      </w:r>
    </w:p>
    <w:p w14:paraId="338CEE2F" w14:textId="15665A35" w:rsidR="00F80A59" w:rsidRDefault="001C2466" w:rsidP="00D617C8">
      <w:pPr>
        <w:pStyle w:val="RuleStatement"/>
        <w:spacing w:before="0" w:after="180"/>
      </w:pPr>
      <w:bookmarkStart w:id="433" w:name="_Toc475034621"/>
      <w:bookmarkStart w:id="434" w:name="_Toc475034883"/>
      <w:r>
        <w:t>6.4.7.2</w:t>
      </w:r>
      <w:r>
        <w:tab/>
      </w:r>
      <w:r w:rsidR="004B24EF">
        <w:t xml:space="preserve">When security classified records are not in use, they must be stored in an </w:t>
      </w:r>
      <w:r w:rsidR="005744F7">
        <w:t>appropriately</w:t>
      </w:r>
      <w:r w:rsidR="004B24EF">
        <w:t xml:space="preserve"> secur</w:t>
      </w:r>
      <w:r w:rsidR="005744F7">
        <w:t>ed environment</w:t>
      </w:r>
      <w:r w:rsidR="004B24EF">
        <w:t>.</w:t>
      </w:r>
      <w:bookmarkEnd w:id="433"/>
      <w:bookmarkEnd w:id="434"/>
      <w:r w:rsidR="004B24EF">
        <w:t xml:space="preserve"> </w:t>
      </w:r>
    </w:p>
    <w:p w14:paraId="409A5B23" w14:textId="05F45BFD" w:rsidR="001440C9" w:rsidRDefault="004B24EF" w:rsidP="0074582B">
      <w:pPr>
        <w:pStyle w:val="NumberedPara"/>
        <w:numPr>
          <w:ilvl w:val="0"/>
          <w:numId w:val="40"/>
        </w:numPr>
        <w:spacing w:before="0" w:after="180"/>
      </w:pPr>
      <w:r>
        <w:t xml:space="preserve">During absences from their workplace </w:t>
      </w:r>
      <w:r w:rsidR="007806A9">
        <w:t xml:space="preserve">and at close of business </w:t>
      </w:r>
      <w:r w:rsidR="00653C42">
        <w:t>personnel</w:t>
      </w:r>
      <w:r>
        <w:t xml:space="preserve"> </w:t>
      </w:r>
      <w:r w:rsidR="00C63580">
        <w:t>are responsible for</w:t>
      </w:r>
      <w:r>
        <w:t xml:space="preserve"> ensur</w:t>
      </w:r>
      <w:r w:rsidR="00C63580">
        <w:t>ing</w:t>
      </w:r>
      <w:r>
        <w:t xml:space="preserve"> that records and systems are secured appropriately.</w:t>
      </w:r>
    </w:p>
    <w:p w14:paraId="7CA7344A" w14:textId="78AFCCDF" w:rsidR="004B24EF" w:rsidRDefault="004B24EF" w:rsidP="00B46882">
      <w:pPr>
        <w:pStyle w:val="Heading2"/>
      </w:pPr>
      <w:bookmarkStart w:id="435" w:name="_Toc475034355"/>
      <w:bookmarkStart w:id="436" w:name="_Toc475034622"/>
      <w:bookmarkStart w:id="437" w:name="_Toc475034884"/>
      <w:bookmarkStart w:id="438" w:name="_Toc475034356"/>
      <w:bookmarkStart w:id="439" w:name="_Toc475034623"/>
      <w:bookmarkStart w:id="440" w:name="_Toc475034885"/>
      <w:bookmarkStart w:id="441" w:name="_Toc475034357"/>
      <w:bookmarkStart w:id="442" w:name="_Toc475034624"/>
      <w:bookmarkStart w:id="443" w:name="_Toc475034886"/>
      <w:bookmarkStart w:id="444" w:name="_Toc475034359"/>
      <w:bookmarkStart w:id="445" w:name="_Toc475034626"/>
      <w:bookmarkStart w:id="446" w:name="_Toc475034888"/>
      <w:bookmarkStart w:id="447" w:name="_Toc454380865"/>
      <w:bookmarkStart w:id="448" w:name="_Toc506462952"/>
      <w:bookmarkEnd w:id="435"/>
      <w:bookmarkEnd w:id="436"/>
      <w:bookmarkEnd w:id="437"/>
      <w:bookmarkEnd w:id="438"/>
      <w:bookmarkEnd w:id="439"/>
      <w:bookmarkEnd w:id="440"/>
      <w:bookmarkEnd w:id="441"/>
      <w:bookmarkEnd w:id="442"/>
      <w:bookmarkEnd w:id="443"/>
      <w:bookmarkEnd w:id="444"/>
      <w:bookmarkEnd w:id="445"/>
      <w:bookmarkEnd w:id="446"/>
      <w:r>
        <w:t>Disposal</w:t>
      </w:r>
      <w:bookmarkEnd w:id="447"/>
      <w:bookmarkEnd w:id="448"/>
    </w:p>
    <w:p w14:paraId="358DEE46" w14:textId="77777777" w:rsidR="00F901F8" w:rsidRDefault="005E6140" w:rsidP="00B46882">
      <w:pPr>
        <w:pStyle w:val="Heading3"/>
      </w:pPr>
      <w:bookmarkStart w:id="449" w:name="_Toc506462953"/>
      <w:r>
        <w:t>Records d</w:t>
      </w:r>
      <w:r w:rsidR="00F901F8">
        <w:t xml:space="preserve">isposal </w:t>
      </w:r>
      <w:r>
        <w:t>schedules</w:t>
      </w:r>
      <w:bookmarkEnd w:id="449"/>
    </w:p>
    <w:p w14:paraId="20FAC2C8" w14:textId="5483F5EA" w:rsidR="000F0751" w:rsidRPr="004B24EF" w:rsidRDefault="000F0751" w:rsidP="00D617C8">
      <w:pPr>
        <w:pStyle w:val="RuleStatement"/>
        <w:spacing w:before="0" w:after="180"/>
      </w:pPr>
      <w:r>
        <w:t>6.5.1.1</w:t>
      </w:r>
      <w:r>
        <w:tab/>
      </w:r>
      <w:r w:rsidRPr="004B24EF">
        <w:t xml:space="preserve">Records and information </w:t>
      </w:r>
      <w:r>
        <w:t>must</w:t>
      </w:r>
      <w:r w:rsidRPr="004B24EF">
        <w:t xml:space="preserve"> be kept for as long as they are needed for business, legal and accountability requirements</w:t>
      </w:r>
      <w:r w:rsidR="00A5592D">
        <w:t>, including community expectations</w:t>
      </w:r>
      <w:r w:rsidRPr="004B24EF">
        <w:t>.</w:t>
      </w:r>
    </w:p>
    <w:p w14:paraId="4F0F33D8" w14:textId="77777777" w:rsidR="000F0751" w:rsidRDefault="000F0751" w:rsidP="0074582B">
      <w:pPr>
        <w:pStyle w:val="NumberedPara"/>
        <w:numPr>
          <w:ilvl w:val="0"/>
          <w:numId w:val="41"/>
        </w:numPr>
        <w:spacing w:before="0" w:after="180"/>
      </w:pPr>
      <w:r>
        <w:t>Records retention decisions are to be based on compliance with legal and governance requirements of the organisation, its business needs, and the needs of internal and external stakeholders, including the wider community.</w:t>
      </w:r>
    </w:p>
    <w:p w14:paraId="3CA4589B" w14:textId="2C63329A" w:rsidR="00F147E2" w:rsidRDefault="00421A4A" w:rsidP="0074582B">
      <w:pPr>
        <w:pStyle w:val="NumberedPara"/>
        <w:numPr>
          <w:ilvl w:val="0"/>
          <w:numId w:val="41"/>
        </w:numPr>
        <w:spacing w:before="0" w:after="180"/>
      </w:pPr>
      <w:r>
        <w:t>A</w:t>
      </w:r>
      <w:r w:rsidR="00E55E0F">
        <w:t>ppraisal of r</w:t>
      </w:r>
      <w:r w:rsidR="00F147E2">
        <w:t xml:space="preserve">ecords </w:t>
      </w:r>
      <w:r w:rsidR="000F4688">
        <w:t>includes assessment of their possible value as N</w:t>
      </w:r>
      <w:r>
        <w:t xml:space="preserve">orthern </w:t>
      </w:r>
      <w:r w:rsidR="000F4688">
        <w:t>T</w:t>
      </w:r>
      <w:r>
        <w:t>erritory</w:t>
      </w:r>
      <w:r w:rsidR="000F4688">
        <w:t xml:space="preserve"> archives and </w:t>
      </w:r>
      <w:r>
        <w:t>their identification in disposal schedules as permanent value records for transfer to the NT</w:t>
      </w:r>
      <w:r w:rsidR="0041210E">
        <w:t> </w:t>
      </w:r>
      <w:r>
        <w:t>Archives Service.</w:t>
      </w:r>
      <w:r>
        <w:rPr>
          <w:rStyle w:val="FootnoteReference"/>
        </w:rPr>
        <w:footnoteReference w:id="12"/>
      </w:r>
    </w:p>
    <w:p w14:paraId="1544C05C" w14:textId="77777777" w:rsidR="000F0751" w:rsidRDefault="000F0751" w:rsidP="0074582B">
      <w:pPr>
        <w:pStyle w:val="NumberedPara"/>
        <w:numPr>
          <w:ilvl w:val="0"/>
          <w:numId w:val="41"/>
        </w:numPr>
        <w:spacing w:before="0" w:after="180"/>
      </w:pPr>
      <w:r w:rsidRPr="004A0B22">
        <w:t xml:space="preserve">When records have been </w:t>
      </w:r>
      <w:r>
        <w:t>assigned a</w:t>
      </w:r>
      <w:r w:rsidRPr="004A0B22">
        <w:t xml:space="preserve"> temporary </w:t>
      </w:r>
      <w:r>
        <w:t xml:space="preserve">status </w:t>
      </w:r>
      <w:r w:rsidRPr="004A0B22">
        <w:t xml:space="preserve">in </w:t>
      </w:r>
      <w:r>
        <w:t xml:space="preserve">accordance with </w:t>
      </w:r>
      <w:r w:rsidRPr="004A0B22">
        <w:t>an approved records disposal schedule, the</w:t>
      </w:r>
      <w:r>
        <w:t xml:space="preserve"> defined disposal actions are the minimum length of time those records must be kept. </w:t>
      </w:r>
    </w:p>
    <w:p w14:paraId="09944990" w14:textId="77777777" w:rsidR="000F0751" w:rsidRDefault="000F0751" w:rsidP="0074582B">
      <w:pPr>
        <w:pStyle w:val="NumberedPara"/>
        <w:numPr>
          <w:ilvl w:val="0"/>
          <w:numId w:val="41"/>
        </w:numPr>
        <w:spacing w:before="0" w:after="180"/>
      </w:pPr>
      <w:r>
        <w:t>If required an organisation may retain records for periods longer than that specified in a disposal schedule, for example when a legal hold or disposal freeze is in force, however this should be documented in agency policy and procedure.</w:t>
      </w:r>
    </w:p>
    <w:p w14:paraId="18D6DF60" w14:textId="77777777" w:rsidR="000F0751" w:rsidRDefault="000F0751" w:rsidP="0074582B">
      <w:pPr>
        <w:pStyle w:val="NumberedPara"/>
        <w:numPr>
          <w:ilvl w:val="0"/>
          <w:numId w:val="41"/>
        </w:numPr>
        <w:spacing w:before="0" w:after="180"/>
      </w:pPr>
      <w:r>
        <w:t>If longer retention becomes an ongoing agency requirement, this should be considered in any review of the appropriate disposal schedule.</w:t>
      </w:r>
    </w:p>
    <w:p w14:paraId="7C990E5B" w14:textId="79699FAD" w:rsidR="00175507" w:rsidRDefault="001C2466" w:rsidP="00D617C8">
      <w:pPr>
        <w:pStyle w:val="RuleStatement"/>
        <w:spacing w:before="0" w:after="180"/>
      </w:pPr>
      <w:bookmarkStart w:id="450" w:name="_Toc475034630"/>
      <w:bookmarkStart w:id="451" w:name="_Toc475034892"/>
      <w:r>
        <w:t>6.5.1.</w:t>
      </w:r>
      <w:r w:rsidR="000F0751">
        <w:t>2</w:t>
      </w:r>
      <w:r>
        <w:tab/>
      </w:r>
      <w:r w:rsidR="00F47D06">
        <w:t>All o</w:t>
      </w:r>
      <w:r w:rsidR="00175507" w:rsidRPr="00175507">
        <w:t>rganisational records</w:t>
      </w:r>
      <w:r w:rsidR="00F47D06">
        <w:t>, including records in business systems,</w:t>
      </w:r>
      <w:r w:rsidR="00175507" w:rsidRPr="00175507">
        <w:t xml:space="preserve"> must be covered by a current and authorised records disposal schedule</w:t>
      </w:r>
      <w:r w:rsidR="00175507">
        <w:t>.</w:t>
      </w:r>
      <w:bookmarkEnd w:id="450"/>
      <w:bookmarkEnd w:id="451"/>
    </w:p>
    <w:p w14:paraId="390E578C" w14:textId="6045CEC7" w:rsidR="00F147E2" w:rsidRDefault="00FC4E53" w:rsidP="0074582B">
      <w:pPr>
        <w:pStyle w:val="NumberedPara"/>
        <w:numPr>
          <w:ilvl w:val="0"/>
          <w:numId w:val="42"/>
        </w:numPr>
        <w:spacing w:before="0" w:after="180"/>
      </w:pPr>
      <w:r>
        <w:t xml:space="preserve">Disposal schedules should be reviewed when major legislative or policy change affects the regulatory </w:t>
      </w:r>
      <w:r w:rsidR="005021D3">
        <w:t>environment</w:t>
      </w:r>
      <w:r>
        <w:t>.</w:t>
      </w:r>
    </w:p>
    <w:p w14:paraId="16C8BDD6" w14:textId="7111D5C6" w:rsidR="00175507" w:rsidRPr="00175507" w:rsidRDefault="00175507" w:rsidP="0074582B">
      <w:pPr>
        <w:pStyle w:val="NumberedPara"/>
        <w:numPr>
          <w:ilvl w:val="0"/>
          <w:numId w:val="42"/>
        </w:numPr>
        <w:spacing w:before="0" w:after="180"/>
      </w:pPr>
      <w:r w:rsidRPr="00175507">
        <w:t>Records disposal schedules do not apply to records created prior to 1</w:t>
      </w:r>
      <w:r w:rsidR="0041210E">
        <w:t> </w:t>
      </w:r>
      <w:r w:rsidRPr="00175507">
        <w:t>July</w:t>
      </w:r>
      <w:r w:rsidR="0041210E">
        <w:t> </w:t>
      </w:r>
      <w:r w:rsidRPr="00175507">
        <w:t xml:space="preserve">1978. All such records should be appraised by the Archives Service in accordance with Archives Management </w:t>
      </w:r>
      <w:r w:rsidRPr="00175507">
        <w:lastRenderedPageBreak/>
        <w:t>Standard Disposal of Govern</w:t>
      </w:r>
      <w:r w:rsidR="0041210E">
        <w:t>ment Records Created Prior to 1 </w:t>
      </w:r>
      <w:r w:rsidRPr="00175507">
        <w:t>July</w:t>
      </w:r>
      <w:r w:rsidR="0041210E">
        <w:t> </w:t>
      </w:r>
      <w:r w:rsidRPr="00175507">
        <w:t>1978.</w:t>
      </w:r>
    </w:p>
    <w:p w14:paraId="2E276920" w14:textId="77777777" w:rsidR="00010FD9" w:rsidRDefault="001C2466" w:rsidP="00F076B1">
      <w:pPr>
        <w:pStyle w:val="RuleStatement"/>
      </w:pPr>
      <w:bookmarkStart w:id="452" w:name="_Toc475034364"/>
      <w:bookmarkStart w:id="453" w:name="_Toc475034631"/>
      <w:bookmarkStart w:id="454" w:name="_Toc475034893"/>
      <w:bookmarkEnd w:id="452"/>
      <w:bookmarkEnd w:id="453"/>
      <w:bookmarkEnd w:id="454"/>
      <w:r>
        <w:t>6.5.1.</w:t>
      </w:r>
      <w:r w:rsidR="003463DD">
        <w:t>3</w:t>
      </w:r>
      <w:r>
        <w:tab/>
      </w:r>
      <w:bookmarkStart w:id="455" w:name="_Toc475034365"/>
      <w:bookmarkStart w:id="456" w:name="_Toc475034632"/>
      <w:bookmarkStart w:id="457" w:name="_Toc475034894"/>
      <w:bookmarkStart w:id="458" w:name="_Toc475034633"/>
      <w:bookmarkStart w:id="459" w:name="_Toc475034895"/>
      <w:bookmarkEnd w:id="455"/>
      <w:bookmarkEnd w:id="456"/>
      <w:bookmarkEnd w:id="457"/>
      <w:r w:rsidR="00010FD9">
        <w:t>Records disposal schedules must be</w:t>
      </w:r>
      <w:r w:rsidR="00010FD9" w:rsidRPr="008E40EC">
        <w:t xml:space="preserve"> </w:t>
      </w:r>
      <w:r w:rsidR="00010FD9">
        <w:t xml:space="preserve">jointly </w:t>
      </w:r>
      <w:r w:rsidR="00010FD9" w:rsidRPr="008E40EC">
        <w:t xml:space="preserve">approved </w:t>
      </w:r>
      <w:r w:rsidR="00010FD9">
        <w:t xml:space="preserve">by the Chief Executive Officer </w:t>
      </w:r>
      <w:r w:rsidR="00010FD9" w:rsidRPr="008E40EC">
        <w:t xml:space="preserve">of the </w:t>
      </w:r>
      <w:r w:rsidR="00010FD9">
        <w:t>PSO</w:t>
      </w:r>
      <w:r w:rsidR="00010FD9" w:rsidRPr="008E40EC">
        <w:t xml:space="preserve"> responsible for the </w:t>
      </w:r>
      <w:r w:rsidR="00010FD9">
        <w:t xml:space="preserve">related </w:t>
      </w:r>
      <w:r w:rsidR="00010FD9" w:rsidRPr="008E40EC">
        <w:t>functio</w:t>
      </w:r>
      <w:r w:rsidR="00010FD9">
        <w:t>n,</w:t>
      </w:r>
      <w:r w:rsidR="00010FD9" w:rsidRPr="008E40EC">
        <w:t xml:space="preserve"> the </w:t>
      </w:r>
      <w:r w:rsidR="00010FD9">
        <w:t>D</w:t>
      </w:r>
      <w:r w:rsidR="00010FD9" w:rsidRPr="008E40EC">
        <w:t xml:space="preserve">irector of the </w:t>
      </w:r>
      <w:r w:rsidR="00010FD9">
        <w:t>R</w:t>
      </w:r>
      <w:r w:rsidR="00010FD9" w:rsidRPr="008E40EC">
        <w:t xml:space="preserve">ecords </w:t>
      </w:r>
      <w:r w:rsidR="00010FD9">
        <w:t>S</w:t>
      </w:r>
      <w:r w:rsidR="00010FD9" w:rsidRPr="008E40EC">
        <w:t>ervice</w:t>
      </w:r>
      <w:r w:rsidR="00010FD9">
        <w:t>,</w:t>
      </w:r>
      <w:r w:rsidR="00010FD9" w:rsidRPr="008E40EC">
        <w:t xml:space="preserve"> and the </w:t>
      </w:r>
      <w:r w:rsidR="00010FD9">
        <w:t>D</w:t>
      </w:r>
      <w:r w:rsidR="00010FD9" w:rsidRPr="008E40EC">
        <w:t xml:space="preserve">irector of the </w:t>
      </w:r>
      <w:r w:rsidR="00010FD9">
        <w:t>A</w:t>
      </w:r>
      <w:r w:rsidR="00010FD9" w:rsidRPr="008E40EC">
        <w:t xml:space="preserve">rchives </w:t>
      </w:r>
      <w:r w:rsidR="00010FD9">
        <w:t>S</w:t>
      </w:r>
      <w:r w:rsidR="00010FD9" w:rsidRPr="008E40EC">
        <w:t>ervice</w:t>
      </w:r>
      <w:r w:rsidR="00010FD9">
        <w:t>.</w:t>
      </w:r>
      <w:bookmarkEnd w:id="458"/>
      <w:bookmarkEnd w:id="459"/>
    </w:p>
    <w:p w14:paraId="38F8B4CF" w14:textId="77777777" w:rsidR="00F901F8" w:rsidRDefault="00010FD9" w:rsidP="0074582B">
      <w:pPr>
        <w:pStyle w:val="NumberedPara"/>
        <w:numPr>
          <w:ilvl w:val="0"/>
          <w:numId w:val="43"/>
        </w:numPr>
      </w:pPr>
      <w:r>
        <w:t xml:space="preserve">An approved records disposal schedule permits a PSO to retain or destroy its records in accordance with the </w:t>
      </w:r>
      <w:r w:rsidRPr="00B533D4">
        <w:rPr>
          <w:i/>
        </w:rPr>
        <w:t>Information Act</w:t>
      </w:r>
      <w:r>
        <w:t>.</w:t>
      </w:r>
      <w:r w:rsidRPr="00C16E35">
        <w:rPr>
          <w:vertAlign w:val="superscript"/>
        </w:rPr>
        <w:footnoteReference w:id="13"/>
      </w:r>
    </w:p>
    <w:p w14:paraId="383D4E47" w14:textId="77777777" w:rsidR="00F901F8" w:rsidRDefault="00F901F8" w:rsidP="0074582B">
      <w:pPr>
        <w:pStyle w:val="NumberedPara"/>
        <w:numPr>
          <w:ilvl w:val="0"/>
          <w:numId w:val="43"/>
        </w:numPr>
      </w:pPr>
      <w:r>
        <w:t xml:space="preserve">Determining the </w:t>
      </w:r>
      <w:r w:rsidRPr="00F901F8">
        <w:t xml:space="preserve">retention or destruction of records </w:t>
      </w:r>
      <w:r>
        <w:t xml:space="preserve">requires </w:t>
      </w:r>
      <w:r w:rsidRPr="00F901F8">
        <w:t>a thorough and systematic analysis of the regulatory environment the organisation operates within and of the business activities it conducts</w:t>
      </w:r>
      <w:r>
        <w:t xml:space="preserve"> against all records to identify minimum retention periods</w:t>
      </w:r>
      <w:r w:rsidRPr="00F901F8">
        <w:t>.</w:t>
      </w:r>
    </w:p>
    <w:p w14:paraId="0C249D54" w14:textId="6ED35387" w:rsidR="0099105E" w:rsidRPr="000E272E" w:rsidRDefault="00F901F8" w:rsidP="0074582B">
      <w:pPr>
        <w:pStyle w:val="NumberedPara"/>
        <w:numPr>
          <w:ilvl w:val="0"/>
          <w:numId w:val="43"/>
        </w:numPr>
      </w:pPr>
      <w:r>
        <w:t>The process to develop a records disposal schedule requires consultation between business unit managers and records managers from within the PSO, supported by advice from the R</w:t>
      </w:r>
      <w:r w:rsidRPr="003A5725">
        <w:t xml:space="preserve">ecords </w:t>
      </w:r>
      <w:r w:rsidR="00EF55D6">
        <w:t xml:space="preserve">and Archives </w:t>
      </w:r>
      <w:r>
        <w:t>Service</w:t>
      </w:r>
      <w:r w:rsidR="00EF55D6">
        <w:t>s</w:t>
      </w:r>
      <w:r>
        <w:t>.</w:t>
      </w:r>
    </w:p>
    <w:p w14:paraId="73B45935" w14:textId="77777777" w:rsidR="004B24EF" w:rsidRPr="004D2CA1" w:rsidRDefault="005E6140" w:rsidP="00B46882">
      <w:pPr>
        <w:pStyle w:val="Heading3"/>
      </w:pPr>
      <w:bookmarkStart w:id="460" w:name="_Toc475034369"/>
      <w:bookmarkStart w:id="461" w:name="_Toc475034636"/>
      <w:bookmarkStart w:id="462" w:name="_Toc475034898"/>
      <w:bookmarkStart w:id="463" w:name="_Toc475034370"/>
      <w:bookmarkStart w:id="464" w:name="_Toc475034637"/>
      <w:bookmarkStart w:id="465" w:name="_Toc475034899"/>
      <w:bookmarkStart w:id="466" w:name="_Toc475034371"/>
      <w:bookmarkStart w:id="467" w:name="_Toc475034638"/>
      <w:bookmarkStart w:id="468" w:name="_Toc475034900"/>
      <w:bookmarkStart w:id="469" w:name="_Toc475034372"/>
      <w:bookmarkStart w:id="470" w:name="_Toc475034639"/>
      <w:bookmarkStart w:id="471" w:name="_Toc475034901"/>
      <w:bookmarkStart w:id="472" w:name="_Toc475034374"/>
      <w:bookmarkStart w:id="473" w:name="_Toc475034641"/>
      <w:bookmarkStart w:id="474" w:name="_Toc475034903"/>
      <w:bookmarkStart w:id="475" w:name="_Toc506462954"/>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r>
        <w:t>Short-term and transitionary records</w:t>
      </w:r>
      <w:bookmarkStart w:id="476" w:name="_Toc475034376"/>
      <w:bookmarkStart w:id="477" w:name="_Toc475034643"/>
      <w:bookmarkStart w:id="478" w:name="_Toc475034905"/>
      <w:bookmarkStart w:id="479" w:name="_Toc475034377"/>
      <w:bookmarkStart w:id="480" w:name="_Toc475034644"/>
      <w:bookmarkStart w:id="481" w:name="_Toc475034906"/>
      <w:bookmarkStart w:id="482" w:name="_Toc475034378"/>
      <w:bookmarkStart w:id="483" w:name="_Toc475034645"/>
      <w:bookmarkStart w:id="484" w:name="_Toc475034907"/>
      <w:bookmarkStart w:id="485" w:name="_Toc475034379"/>
      <w:bookmarkStart w:id="486" w:name="_Toc475034646"/>
      <w:bookmarkStart w:id="487" w:name="_Toc475034908"/>
      <w:bookmarkStart w:id="488" w:name="_Toc475034647"/>
      <w:bookmarkStart w:id="489" w:name="_Toc475034909"/>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14:paraId="68CF4136" w14:textId="41C02A9F" w:rsidR="005E6140" w:rsidRDefault="001C2466" w:rsidP="00F076B1">
      <w:pPr>
        <w:pStyle w:val="RuleStatement"/>
      </w:pPr>
      <w:bookmarkStart w:id="490" w:name="_Toc475034648"/>
      <w:bookmarkStart w:id="491" w:name="_Toc475034910"/>
      <w:r>
        <w:t>6.5.2.1</w:t>
      </w:r>
      <w:r>
        <w:tab/>
      </w:r>
      <w:r w:rsidR="005E6140">
        <w:t xml:space="preserve">PSOs </w:t>
      </w:r>
      <w:r w:rsidR="006460D7">
        <w:t>must</w:t>
      </w:r>
      <w:r w:rsidR="005E6140">
        <w:t xml:space="preserve"> dispose of </w:t>
      </w:r>
      <w:r w:rsidR="005E6140" w:rsidRPr="00A05E69">
        <w:t>short-term or transitory records</w:t>
      </w:r>
      <w:r w:rsidR="005E6140">
        <w:t>.</w:t>
      </w:r>
      <w:bookmarkEnd w:id="490"/>
      <w:bookmarkEnd w:id="491"/>
    </w:p>
    <w:p w14:paraId="7205914D" w14:textId="77777777" w:rsidR="00AB094F" w:rsidRDefault="00AB094F" w:rsidP="0074582B">
      <w:pPr>
        <w:pStyle w:val="NumberedPara"/>
        <w:numPr>
          <w:ilvl w:val="0"/>
          <w:numId w:val="44"/>
        </w:numPr>
      </w:pPr>
      <w:r>
        <w:t>S</w:t>
      </w:r>
      <w:r w:rsidRPr="00A05E69">
        <w:t>hort-term or transitory records</w:t>
      </w:r>
      <w:r>
        <w:t xml:space="preserve"> include:</w:t>
      </w:r>
      <w:r w:rsidRPr="00A05E69">
        <w:t xml:space="preserve"> background notes</w:t>
      </w:r>
      <w:r>
        <w:t>;</w:t>
      </w:r>
      <w:r w:rsidRPr="00A05E69">
        <w:t xml:space="preserve"> office messages</w:t>
      </w:r>
      <w:r>
        <w:t>;</w:t>
      </w:r>
      <w:r w:rsidRPr="00A05E69">
        <w:t xml:space="preserve"> meeting requests</w:t>
      </w:r>
      <w:r>
        <w:t>;</w:t>
      </w:r>
      <w:r w:rsidRPr="00A05E69">
        <w:t xml:space="preserve"> </w:t>
      </w:r>
      <w:r>
        <w:t xml:space="preserve">deliberative </w:t>
      </w:r>
      <w:r w:rsidRPr="00A05E69">
        <w:t>drafts of reports</w:t>
      </w:r>
      <w:r>
        <w:t>; and documents</w:t>
      </w:r>
      <w:r w:rsidRPr="00A05E69">
        <w:t xml:space="preserve"> and briefs with no significant impact upon the fin</w:t>
      </w:r>
      <w:r w:rsidR="00AC4F74">
        <w:t xml:space="preserve">al </w:t>
      </w:r>
      <w:r w:rsidRPr="00A05E69">
        <w:t>product</w:t>
      </w:r>
      <w:r w:rsidR="00AC4F74">
        <w:t xml:space="preserve"> or </w:t>
      </w:r>
      <w:r w:rsidR="006C5E23">
        <w:t>decision</w:t>
      </w:r>
      <w:r>
        <w:t>.</w:t>
      </w:r>
    </w:p>
    <w:p w14:paraId="5AA42B43" w14:textId="77777777" w:rsidR="005E6140" w:rsidRDefault="005E6140" w:rsidP="0074582B">
      <w:pPr>
        <w:pStyle w:val="NumberedPara"/>
        <w:numPr>
          <w:ilvl w:val="0"/>
          <w:numId w:val="44"/>
        </w:numPr>
      </w:pPr>
      <w:r w:rsidRPr="00A05E69">
        <w:t xml:space="preserve">Destruction </w:t>
      </w:r>
      <w:r>
        <w:t xml:space="preserve">of </w:t>
      </w:r>
      <w:r w:rsidRPr="00A05E69">
        <w:t>the</w:t>
      </w:r>
      <w:r>
        <w:t>se</w:t>
      </w:r>
      <w:r w:rsidRPr="00A05E69">
        <w:t xml:space="preserve"> records </w:t>
      </w:r>
      <w:r>
        <w:t xml:space="preserve">is permitted because they </w:t>
      </w:r>
      <w:r w:rsidRPr="00A05E69">
        <w:t>are duplicated</w:t>
      </w:r>
      <w:r>
        <w:t xml:space="preserve"> or incorporated into records captured elsewhere</w:t>
      </w:r>
      <w:r w:rsidRPr="00A05E69">
        <w:t xml:space="preserve">, or </w:t>
      </w:r>
      <w:r w:rsidR="00AC6CA2">
        <w:t xml:space="preserve">are </w:t>
      </w:r>
      <w:r w:rsidRPr="00A05E69">
        <w:t>for short-term use only</w:t>
      </w:r>
      <w:r>
        <w:t>, and have little or no evidential or historical value</w:t>
      </w:r>
      <w:r w:rsidRPr="00A05E69">
        <w:t>.</w:t>
      </w:r>
      <w:r w:rsidR="00AC6CA2">
        <w:t xml:space="preserve"> This routine destruction of ephemeral and facilitative information is referred to as normal administrative practice.</w:t>
      </w:r>
    </w:p>
    <w:p w14:paraId="671C7F95" w14:textId="77777777" w:rsidR="004B24EF" w:rsidRPr="00A05E69" w:rsidRDefault="004B24EF" w:rsidP="0074582B">
      <w:pPr>
        <w:pStyle w:val="NumberedPara"/>
        <w:numPr>
          <w:ilvl w:val="0"/>
          <w:numId w:val="44"/>
        </w:numPr>
      </w:pPr>
      <w:r w:rsidRPr="00A05E69">
        <w:t>Destruction of records</w:t>
      </w:r>
      <w:r>
        <w:t xml:space="preserve"> of this nature,</w:t>
      </w:r>
      <w:r w:rsidRPr="00A05E69">
        <w:t xml:space="preserve"> </w:t>
      </w:r>
      <w:r>
        <w:t xml:space="preserve">which have been captured into a records management system requiring the definition of a disposal class, is </w:t>
      </w:r>
      <w:r w:rsidRPr="00A05E69">
        <w:t xml:space="preserve">permissible using the </w:t>
      </w:r>
      <w:r w:rsidRPr="00B533D4">
        <w:rPr>
          <w:i/>
        </w:rPr>
        <w:t>Disposal Schedule for Records of Short Term Value</w:t>
      </w:r>
      <w:r w:rsidRPr="00A05E69">
        <w:t>.</w:t>
      </w:r>
      <w:r w:rsidRPr="00C16E35">
        <w:rPr>
          <w:vertAlign w:val="superscript"/>
        </w:rPr>
        <w:footnoteReference w:id="14"/>
      </w:r>
      <w:r w:rsidRPr="00A05E69">
        <w:t xml:space="preserve"> </w:t>
      </w:r>
    </w:p>
    <w:p w14:paraId="4B575397" w14:textId="6112AFFB" w:rsidR="001B1375" w:rsidRDefault="001B1375" w:rsidP="00B46882">
      <w:pPr>
        <w:pStyle w:val="Heading3"/>
      </w:pPr>
      <w:bookmarkStart w:id="492" w:name="_Toc454380868"/>
      <w:bookmarkStart w:id="493" w:name="_Toc506462955"/>
      <w:r w:rsidRPr="00592B6B">
        <w:t>D</w:t>
      </w:r>
      <w:r w:rsidR="00AE6EDD">
        <w:t>isposal</w:t>
      </w:r>
      <w:r w:rsidRPr="00592B6B">
        <w:t xml:space="preserve"> of records</w:t>
      </w:r>
      <w:bookmarkEnd w:id="492"/>
      <w:bookmarkEnd w:id="493"/>
    </w:p>
    <w:p w14:paraId="702EA73D" w14:textId="77777777" w:rsidR="0099105E" w:rsidRDefault="001C2466" w:rsidP="00F076B1">
      <w:pPr>
        <w:pStyle w:val="RuleStatement"/>
      </w:pPr>
      <w:bookmarkStart w:id="494" w:name="_Toc475034650"/>
      <w:bookmarkStart w:id="495" w:name="_Toc475034912"/>
      <w:r>
        <w:t>6.5.3.1</w:t>
      </w:r>
      <w:r>
        <w:tab/>
      </w:r>
      <w:r w:rsidR="006C5E23">
        <w:t xml:space="preserve">PSOs must dispose of records and information in accordance with the provisions of the </w:t>
      </w:r>
      <w:r w:rsidR="006C5E23" w:rsidRPr="00F929D2">
        <w:rPr>
          <w:i/>
        </w:rPr>
        <w:t>Information Act</w:t>
      </w:r>
      <w:r w:rsidR="006C5E23">
        <w:t xml:space="preserve"> and be able to prove such action has been performed with due regard to the business, legal and governance requirements, as well as community expectations</w:t>
      </w:r>
      <w:r w:rsidR="009D687A">
        <w:t>.</w:t>
      </w:r>
      <w:r w:rsidR="0099105E" w:rsidRPr="009F4341">
        <w:rPr>
          <w:i/>
          <w:vertAlign w:val="superscript"/>
        </w:rPr>
        <w:footnoteReference w:id="15"/>
      </w:r>
      <w:bookmarkEnd w:id="494"/>
      <w:bookmarkEnd w:id="495"/>
    </w:p>
    <w:p w14:paraId="48D2B1C4" w14:textId="28EEBF09" w:rsidR="0099105E" w:rsidRDefault="0099105E" w:rsidP="0074582B">
      <w:pPr>
        <w:pStyle w:val="NumberedPara"/>
        <w:numPr>
          <w:ilvl w:val="0"/>
          <w:numId w:val="45"/>
        </w:numPr>
      </w:pPr>
      <w:r>
        <w:t xml:space="preserve">Implementation of the provisions of a disposal schedule (sentencing records for destruction or </w:t>
      </w:r>
      <w:r w:rsidR="00AE6EDD">
        <w:t>transfer</w:t>
      </w:r>
      <w:r>
        <w:t xml:space="preserve">) needs to be </w:t>
      </w:r>
      <w:r w:rsidR="007C3A7E">
        <w:t xml:space="preserve">approved, </w:t>
      </w:r>
      <w:r>
        <w:t>syst</w:t>
      </w:r>
      <w:r w:rsidR="0041210E">
        <w:t>ematic, planned and documented.</w:t>
      </w:r>
    </w:p>
    <w:p w14:paraId="64C78C0A" w14:textId="414DD930" w:rsidR="00AE6EDD" w:rsidRDefault="00AE6EDD" w:rsidP="0074582B">
      <w:pPr>
        <w:pStyle w:val="NumberedPara"/>
        <w:numPr>
          <w:ilvl w:val="0"/>
          <w:numId w:val="45"/>
        </w:numPr>
      </w:pPr>
      <w:r>
        <w:t xml:space="preserve">Where records are sentenced for transfer to the NT Archives Service, standards and procedures issued by the NT Archives Service </w:t>
      </w:r>
      <w:r w:rsidR="00005E61">
        <w:t>are to be</w:t>
      </w:r>
      <w:r>
        <w:t xml:space="preserve"> followed.</w:t>
      </w:r>
    </w:p>
    <w:p w14:paraId="55FA878A" w14:textId="4D116840" w:rsidR="009F07D3" w:rsidRDefault="009F07D3" w:rsidP="0074582B">
      <w:pPr>
        <w:pStyle w:val="NumberedPara"/>
        <w:numPr>
          <w:ilvl w:val="0"/>
          <w:numId w:val="45"/>
        </w:numPr>
      </w:pPr>
      <w:r w:rsidRPr="00175507">
        <w:t xml:space="preserve">Whatever the format of records due for destruction, the appropriate level of security for the records </w:t>
      </w:r>
      <w:r w:rsidR="0026539A">
        <w:t>is to</w:t>
      </w:r>
      <w:r w:rsidRPr="00175507">
        <w:t xml:space="preserve"> be observed until they are completely destroyed.</w:t>
      </w:r>
      <w:r>
        <w:t xml:space="preserve"> Destruction certificates or other </w:t>
      </w:r>
      <w:r>
        <w:lastRenderedPageBreak/>
        <w:t>evidence of destruction are to be obtained and retained by the PSO.</w:t>
      </w:r>
    </w:p>
    <w:p w14:paraId="393E4D48" w14:textId="77777777" w:rsidR="0041210E" w:rsidRDefault="0041210E">
      <w:pPr>
        <w:spacing w:after="0"/>
      </w:pPr>
      <w:r>
        <w:br w:type="page"/>
      </w:r>
    </w:p>
    <w:p w14:paraId="072EA316" w14:textId="7B52F999" w:rsidR="00643EE4" w:rsidRDefault="00643EE4" w:rsidP="0074582B">
      <w:pPr>
        <w:pStyle w:val="NumberedPara"/>
        <w:numPr>
          <w:ilvl w:val="0"/>
          <w:numId w:val="45"/>
        </w:numPr>
      </w:pPr>
      <w:r w:rsidRPr="00175507">
        <w:lastRenderedPageBreak/>
        <w:t xml:space="preserve">The </w:t>
      </w:r>
      <w:r>
        <w:t xml:space="preserve">PSO is to </w:t>
      </w:r>
      <w:r w:rsidRPr="00175507">
        <w:t>ensure that whenever destruction is permitted by a current and authorised records disposal schedule, all copies and versions of official records are properly destroyed and are not recoverable (including electronic versions of records held in the organisation’s information back-up practices).</w:t>
      </w:r>
      <w:r>
        <w:rPr>
          <w:rStyle w:val="FootnoteReference"/>
        </w:rPr>
        <w:footnoteReference w:id="16"/>
      </w:r>
    </w:p>
    <w:p w14:paraId="23333053" w14:textId="2DFFF480" w:rsidR="006C5E23" w:rsidRDefault="006C5E23" w:rsidP="0074582B">
      <w:pPr>
        <w:pStyle w:val="NumberedPara"/>
        <w:numPr>
          <w:ilvl w:val="0"/>
          <w:numId w:val="45"/>
        </w:numPr>
      </w:pPr>
      <w:r>
        <w:t>A PSO should ensure s</w:t>
      </w:r>
      <w:r w:rsidRPr="00175507">
        <w:t>uitably qualified a</w:t>
      </w:r>
      <w:r>
        <w:t xml:space="preserve">nd experienced </w:t>
      </w:r>
      <w:r w:rsidR="00653C42">
        <w:t>personnel</w:t>
      </w:r>
      <w:r>
        <w:t xml:space="preserve"> </w:t>
      </w:r>
      <w:r w:rsidRPr="00175507">
        <w:t xml:space="preserve">manage </w:t>
      </w:r>
      <w:r>
        <w:t xml:space="preserve">the </w:t>
      </w:r>
      <w:r w:rsidRPr="00175507">
        <w:t>records disposal processes across the organisation</w:t>
      </w:r>
      <w:r w:rsidR="009A62F9">
        <w:t>.</w:t>
      </w:r>
      <w:r>
        <w:t xml:space="preserve"> </w:t>
      </w:r>
      <w:r w:rsidR="009A62F9">
        <w:t>A</w:t>
      </w:r>
      <w:r w:rsidRPr="00175507">
        <w:t xml:space="preserve">ll </w:t>
      </w:r>
      <w:r w:rsidR="00653C42">
        <w:t>personnel</w:t>
      </w:r>
      <w:r w:rsidRPr="00175507">
        <w:t xml:space="preserve"> are </w:t>
      </w:r>
      <w:r w:rsidR="009A62F9">
        <w:t xml:space="preserve">to be </w:t>
      </w:r>
      <w:r w:rsidRPr="00175507">
        <w:t>trained in their responsibilities relating to the retention and disposal of records</w:t>
      </w:r>
      <w:r w:rsidR="00343311">
        <w:t>.</w:t>
      </w:r>
    </w:p>
    <w:p w14:paraId="7DD1B5DE" w14:textId="77777777" w:rsidR="00D531D8" w:rsidRDefault="00606F52" w:rsidP="00F076B1">
      <w:pPr>
        <w:pStyle w:val="RuleStatement"/>
      </w:pPr>
      <w:r>
        <w:t>6.5.3.2</w:t>
      </w:r>
      <w:r w:rsidR="00D531D8">
        <w:tab/>
      </w:r>
      <w:r w:rsidR="001B680E">
        <w:t>PSOs must implement p</w:t>
      </w:r>
      <w:r w:rsidR="00D531D8" w:rsidRPr="00AE660E">
        <w:t xml:space="preserve">rocedures to ensure that records subject to </w:t>
      </w:r>
      <w:r w:rsidR="00D531D8">
        <w:t xml:space="preserve">a disposal freeze, </w:t>
      </w:r>
      <w:r w:rsidR="00D531D8" w:rsidRPr="00AE660E">
        <w:t xml:space="preserve">discovery </w:t>
      </w:r>
      <w:r w:rsidR="00D531D8">
        <w:t xml:space="preserve">order </w:t>
      </w:r>
      <w:r w:rsidR="00D531D8" w:rsidRPr="00AE660E">
        <w:t xml:space="preserve">or legal hold </w:t>
      </w:r>
      <w:r w:rsidR="00D531D8">
        <w:t>are</w:t>
      </w:r>
      <w:r w:rsidR="00D531D8" w:rsidRPr="00AE660E">
        <w:t xml:space="preserve"> identified and marked to ensure they are not d</w:t>
      </w:r>
      <w:r w:rsidR="009F07D3">
        <w:t>estroyed</w:t>
      </w:r>
      <w:r w:rsidR="00D531D8">
        <w:t>.</w:t>
      </w:r>
    </w:p>
    <w:p w14:paraId="713AFE0E" w14:textId="56C4CB12" w:rsidR="0099105E" w:rsidRDefault="0099105E" w:rsidP="0074582B">
      <w:pPr>
        <w:pStyle w:val="NumberedPara"/>
        <w:numPr>
          <w:ilvl w:val="0"/>
          <w:numId w:val="46"/>
        </w:numPr>
      </w:pPr>
      <w:r>
        <w:t>Destruction of records in accordance with approved records disposal schedules may be suspended as a result of a legal hold or disposal freeze</w:t>
      </w:r>
      <w:r w:rsidRPr="0099105E">
        <w:t xml:space="preserve"> </w:t>
      </w:r>
      <w:r>
        <w:t>for records which may be, or are likely to become, the subject of investigation or litigation.</w:t>
      </w:r>
      <w:r>
        <w:rPr>
          <w:rStyle w:val="FootnoteReference"/>
        </w:rPr>
        <w:footnoteReference w:id="17"/>
      </w:r>
    </w:p>
    <w:p w14:paraId="238BF25B" w14:textId="3CCC1742" w:rsidR="00282E53" w:rsidRPr="00484CD0" w:rsidRDefault="00B73C5B" w:rsidP="00F076B1">
      <w:pPr>
        <w:pStyle w:val="RuleStatement"/>
      </w:pPr>
      <w:bookmarkStart w:id="496" w:name="_Toc475034651"/>
      <w:bookmarkStart w:id="497" w:name="_Toc475034913"/>
      <w:r>
        <w:t>6.5.3.3</w:t>
      </w:r>
      <w:r w:rsidR="001C2466">
        <w:tab/>
      </w:r>
      <w:r w:rsidR="00282E53" w:rsidRPr="00484CD0">
        <w:t>All records disposal action</w:t>
      </w:r>
      <w:r w:rsidR="00282E53">
        <w:t>s</w:t>
      </w:r>
      <w:r w:rsidR="00282E53" w:rsidRPr="00484CD0">
        <w:t xml:space="preserve"> </w:t>
      </w:r>
      <w:r w:rsidR="00282E53">
        <w:t>must be</w:t>
      </w:r>
      <w:r w:rsidR="00282E53" w:rsidRPr="00484CD0">
        <w:t xml:space="preserve"> </w:t>
      </w:r>
      <w:r w:rsidR="007C3A7E">
        <w:t xml:space="preserve">approved, </w:t>
      </w:r>
      <w:r w:rsidR="00282E53" w:rsidRPr="00484CD0">
        <w:t>fully documen</w:t>
      </w:r>
      <w:r w:rsidR="00282E53">
        <w:t xml:space="preserve">ted and captured </w:t>
      </w:r>
      <w:r w:rsidR="00175507">
        <w:t xml:space="preserve">in </w:t>
      </w:r>
      <w:r w:rsidR="00AE6EDD">
        <w:t>the RMS</w:t>
      </w:r>
      <w:r w:rsidR="00282E53" w:rsidRPr="00484CD0">
        <w:t>.</w:t>
      </w:r>
      <w:bookmarkEnd w:id="496"/>
      <w:bookmarkEnd w:id="497"/>
    </w:p>
    <w:p w14:paraId="4ADD5D9B" w14:textId="77777777" w:rsidR="001B1375" w:rsidRDefault="001B1375" w:rsidP="00B46882">
      <w:pPr>
        <w:pStyle w:val="Heading3"/>
      </w:pPr>
      <w:bookmarkStart w:id="498" w:name="_Toc475034385"/>
      <w:bookmarkStart w:id="499" w:name="_Toc475034652"/>
      <w:bookmarkStart w:id="500" w:name="_Toc475034914"/>
      <w:bookmarkStart w:id="501" w:name="_Toc454380869"/>
      <w:bookmarkStart w:id="502" w:name="_Toc506462956"/>
      <w:bookmarkEnd w:id="498"/>
      <w:bookmarkEnd w:id="499"/>
      <w:bookmarkEnd w:id="500"/>
      <w:r w:rsidRPr="00592B6B">
        <w:t>Archives</w:t>
      </w:r>
      <w:bookmarkEnd w:id="501"/>
      <w:bookmarkEnd w:id="502"/>
    </w:p>
    <w:p w14:paraId="295CE744" w14:textId="77777777" w:rsidR="00282E53" w:rsidRPr="00484CD0" w:rsidRDefault="001C2466" w:rsidP="00F076B1">
      <w:pPr>
        <w:pStyle w:val="RuleStatement"/>
      </w:pPr>
      <w:bookmarkStart w:id="503" w:name="_Toc475034654"/>
      <w:bookmarkStart w:id="504" w:name="_Toc475034916"/>
      <w:r>
        <w:t>6.5.</w:t>
      </w:r>
      <w:r w:rsidR="00E554DF">
        <w:t>4.1</w:t>
      </w:r>
      <w:r>
        <w:tab/>
      </w:r>
      <w:r w:rsidR="00282E53">
        <w:t xml:space="preserve">Permanent records </w:t>
      </w:r>
      <w:r w:rsidR="00695C7D">
        <w:t xml:space="preserve">deemed to be archives </w:t>
      </w:r>
      <w:r w:rsidR="00282E53">
        <w:t>must be transferred to the Archives Service in compliance with an approved current Records Disposal Schedule.</w:t>
      </w:r>
      <w:bookmarkEnd w:id="503"/>
      <w:bookmarkEnd w:id="504"/>
    </w:p>
    <w:p w14:paraId="6C20DB04" w14:textId="1D5060E5" w:rsidR="001B1375" w:rsidRPr="00527BEF" w:rsidRDefault="001B1375" w:rsidP="0074582B">
      <w:pPr>
        <w:pStyle w:val="NumberedPara"/>
        <w:numPr>
          <w:ilvl w:val="0"/>
          <w:numId w:val="47"/>
        </w:numPr>
      </w:pPr>
      <w:r w:rsidRPr="00527BEF">
        <w:t xml:space="preserve">The </w:t>
      </w:r>
      <w:r>
        <w:t>A</w:t>
      </w:r>
      <w:r w:rsidRPr="00527BEF">
        <w:t xml:space="preserve">rchives </w:t>
      </w:r>
      <w:r>
        <w:t>S</w:t>
      </w:r>
      <w:r w:rsidRPr="00527BEF">
        <w:t xml:space="preserve">ervice issues </w:t>
      </w:r>
      <w:r>
        <w:t>S</w:t>
      </w:r>
      <w:r w:rsidRPr="00527BEF">
        <w:t xml:space="preserve">tandards for the management of archives and permanent records, including the transfer of permanent records to the </w:t>
      </w:r>
      <w:r>
        <w:t>A</w:t>
      </w:r>
      <w:r w:rsidRPr="00527BEF">
        <w:t xml:space="preserve">rchives </w:t>
      </w:r>
      <w:r>
        <w:t>S</w:t>
      </w:r>
      <w:r w:rsidRPr="00527BEF">
        <w:t>ervice</w:t>
      </w:r>
      <w:r w:rsidR="0041210E">
        <w:t>.</w:t>
      </w:r>
      <w:r w:rsidR="0065159B" w:rsidRPr="00B02977">
        <w:rPr>
          <w:rStyle w:val="FootnoteReference"/>
        </w:rPr>
        <w:footnoteReference w:id="18"/>
      </w:r>
    </w:p>
    <w:p w14:paraId="7D5388B6" w14:textId="087CF465" w:rsidR="000D55D9" w:rsidRDefault="000D55D9" w:rsidP="009B6238">
      <w:pPr>
        <w:pStyle w:val="Heading1"/>
      </w:pPr>
      <w:bookmarkStart w:id="505" w:name="_Toc454380871"/>
      <w:bookmarkStart w:id="506" w:name="_Toc506462957"/>
      <w:r>
        <w:t>Definitions</w:t>
      </w:r>
      <w:bookmarkEnd w:id="506"/>
    </w:p>
    <w:tbl>
      <w:tblPr>
        <w:tblStyle w:val="NTGTable"/>
        <w:tblW w:w="10065" w:type="dxa"/>
        <w:tblInd w:w="-5" w:type="dxa"/>
        <w:tblLayout w:type="fixed"/>
        <w:tblLook w:val="01E0" w:firstRow="1" w:lastRow="1" w:firstColumn="1" w:lastColumn="1" w:noHBand="0" w:noVBand="0"/>
        <w:tblDescription w:val="Table of terms and their definitions."/>
      </w:tblPr>
      <w:tblGrid>
        <w:gridCol w:w="2126"/>
        <w:gridCol w:w="7939"/>
      </w:tblGrid>
      <w:tr w:rsidR="000D55D9" w:rsidRPr="000E272E" w14:paraId="3E48958D" w14:textId="77777777" w:rsidTr="00B533D4">
        <w:trPr>
          <w:cnfStyle w:val="100000000000" w:firstRow="1" w:lastRow="0" w:firstColumn="0" w:lastColumn="0" w:oddVBand="0" w:evenVBand="0" w:oddHBand="0" w:evenHBand="0" w:firstRowFirstColumn="0" w:firstRowLastColumn="0" w:lastRowFirstColumn="0" w:lastRowLastColumn="0"/>
          <w:cantSplit w:val="0"/>
        </w:trPr>
        <w:tc>
          <w:tcPr>
            <w:tcW w:w="2126" w:type="dxa"/>
          </w:tcPr>
          <w:p w14:paraId="08B0B78A" w14:textId="77777777" w:rsidR="000D55D9" w:rsidRPr="000E272E" w:rsidRDefault="000D55D9" w:rsidP="000E272E">
            <w:pPr>
              <w:spacing w:before="40" w:after="40"/>
            </w:pPr>
            <w:r w:rsidRPr="000E272E">
              <w:t>Term</w:t>
            </w:r>
          </w:p>
        </w:tc>
        <w:tc>
          <w:tcPr>
            <w:tcW w:w="7939" w:type="dxa"/>
          </w:tcPr>
          <w:p w14:paraId="7E7DE1B3" w14:textId="77777777" w:rsidR="000D55D9" w:rsidRPr="000E272E" w:rsidRDefault="000D55D9" w:rsidP="000E272E">
            <w:pPr>
              <w:spacing w:before="40" w:after="40"/>
            </w:pPr>
            <w:r w:rsidRPr="000E272E">
              <w:t>Explanation</w:t>
            </w:r>
          </w:p>
        </w:tc>
      </w:tr>
      <w:tr w:rsidR="000D55D9" w:rsidRPr="000E272E" w14:paraId="299E36EF" w14:textId="77777777" w:rsidTr="00B533D4">
        <w:tc>
          <w:tcPr>
            <w:tcW w:w="2126" w:type="dxa"/>
          </w:tcPr>
          <w:p w14:paraId="019E1014" w14:textId="6B767097" w:rsidR="000D55D9" w:rsidRPr="000E272E" w:rsidRDefault="000D55D9" w:rsidP="000E272E">
            <w:pPr>
              <w:spacing w:before="40" w:after="40"/>
            </w:pPr>
            <w:r w:rsidRPr="000E272E">
              <w:t>Archive</w:t>
            </w:r>
            <w:r w:rsidR="00B3071A" w:rsidRPr="000E272E">
              <w:t>s</w:t>
            </w:r>
          </w:p>
        </w:tc>
        <w:tc>
          <w:tcPr>
            <w:tcW w:w="7939" w:type="dxa"/>
          </w:tcPr>
          <w:p w14:paraId="27DB782E" w14:textId="49F4857C" w:rsidR="000D55D9" w:rsidRPr="000E272E" w:rsidRDefault="00B3071A" w:rsidP="000E272E">
            <w:pPr>
              <w:spacing w:before="40" w:after="40"/>
            </w:pPr>
            <w:r w:rsidRPr="000E272E">
              <w:t>R</w:t>
            </w:r>
            <w:r w:rsidR="000D55D9" w:rsidRPr="000E272E">
              <w:t>ecord</w:t>
            </w:r>
            <w:r w:rsidRPr="000E272E">
              <w:t>s</w:t>
            </w:r>
            <w:r w:rsidR="000D55D9" w:rsidRPr="000E272E">
              <w:t xml:space="preserve"> of permanent value that forms part of the </w:t>
            </w:r>
            <w:r w:rsidR="00AD3D82" w:rsidRPr="000E272E">
              <w:t xml:space="preserve">Northern </w:t>
            </w:r>
            <w:r w:rsidR="000D55D9" w:rsidRPr="000E272E">
              <w:t>Territory Archives.</w:t>
            </w:r>
          </w:p>
        </w:tc>
      </w:tr>
      <w:tr w:rsidR="000D55D9" w:rsidRPr="000E272E" w14:paraId="7B865D0A" w14:textId="77777777" w:rsidTr="00B533D4">
        <w:tc>
          <w:tcPr>
            <w:tcW w:w="2126" w:type="dxa"/>
          </w:tcPr>
          <w:p w14:paraId="35AE32F9" w14:textId="77777777" w:rsidR="000D55D9" w:rsidRPr="000E272E" w:rsidRDefault="000D55D9" w:rsidP="000E272E">
            <w:pPr>
              <w:spacing w:before="40" w:after="40"/>
            </w:pPr>
            <w:r w:rsidRPr="000E272E">
              <w:t>Archives Service</w:t>
            </w:r>
          </w:p>
        </w:tc>
        <w:tc>
          <w:tcPr>
            <w:tcW w:w="7939" w:type="dxa"/>
          </w:tcPr>
          <w:p w14:paraId="76E648DE" w14:textId="44B1BC11" w:rsidR="000D55D9" w:rsidRPr="000E272E" w:rsidRDefault="000D55D9" w:rsidP="000E272E">
            <w:pPr>
              <w:spacing w:before="40" w:after="40"/>
            </w:pPr>
            <w:r w:rsidRPr="000E272E">
              <w:t xml:space="preserve">The organisation established to perform the archives functions for the Northern Territory. </w:t>
            </w:r>
            <w:r w:rsidR="00E779F8" w:rsidRPr="000E272E">
              <w:t>At the time of publication</w:t>
            </w:r>
            <w:r w:rsidRPr="000E272E">
              <w:t xml:space="preserve"> this is the NT Archives Service of the Department of </w:t>
            </w:r>
            <w:r w:rsidR="00427AF4" w:rsidRPr="000E272E">
              <w:t>Tourism and Culture</w:t>
            </w:r>
            <w:r w:rsidRPr="000E272E">
              <w:t>.</w:t>
            </w:r>
          </w:p>
        </w:tc>
      </w:tr>
      <w:tr w:rsidR="000D55D9" w:rsidRPr="000E272E" w14:paraId="7CA27104" w14:textId="77777777" w:rsidTr="00B533D4">
        <w:tc>
          <w:tcPr>
            <w:tcW w:w="2126" w:type="dxa"/>
          </w:tcPr>
          <w:p w14:paraId="6CAC3427" w14:textId="77777777" w:rsidR="000D55D9" w:rsidRPr="000E272E" w:rsidRDefault="000D55D9" w:rsidP="000E272E">
            <w:pPr>
              <w:spacing w:before="40" w:after="40"/>
            </w:pPr>
            <w:r w:rsidRPr="000E272E">
              <w:t>Business system</w:t>
            </w:r>
          </w:p>
        </w:tc>
        <w:tc>
          <w:tcPr>
            <w:tcW w:w="7939" w:type="dxa"/>
          </w:tcPr>
          <w:p w14:paraId="2559AF2F" w14:textId="71889FBB" w:rsidR="000D55D9" w:rsidRPr="000E272E" w:rsidRDefault="000D55D9" w:rsidP="000E272E">
            <w:pPr>
              <w:spacing w:before="40" w:after="40"/>
            </w:pPr>
            <w:r w:rsidRPr="000E272E">
              <w:t xml:space="preserve">A system which </w:t>
            </w:r>
            <w:r w:rsidR="00E779F8" w:rsidRPr="000E272E">
              <w:t xml:space="preserve">stores and manages information to </w:t>
            </w:r>
            <w:r w:rsidRPr="000E272E">
              <w:t>automate business activities and processes</w:t>
            </w:r>
            <w:r w:rsidR="006848D6" w:rsidRPr="000E272E">
              <w:t>, including policy, procedures and business rules governing its use</w:t>
            </w:r>
            <w:r w:rsidRPr="000E272E">
              <w:t>.</w:t>
            </w:r>
          </w:p>
        </w:tc>
      </w:tr>
      <w:tr w:rsidR="000D55D9" w:rsidRPr="000E272E" w14:paraId="517F5055" w14:textId="77777777" w:rsidTr="00B533D4">
        <w:tc>
          <w:tcPr>
            <w:tcW w:w="2126" w:type="dxa"/>
          </w:tcPr>
          <w:p w14:paraId="7ED6A993" w14:textId="77777777" w:rsidR="000D55D9" w:rsidRPr="000E272E" w:rsidRDefault="000D55D9" w:rsidP="000E272E">
            <w:pPr>
              <w:spacing w:before="40" w:after="40"/>
            </w:pPr>
            <w:r w:rsidRPr="000E272E">
              <w:t>Classification</w:t>
            </w:r>
          </w:p>
        </w:tc>
        <w:tc>
          <w:tcPr>
            <w:tcW w:w="7939" w:type="dxa"/>
          </w:tcPr>
          <w:p w14:paraId="0C3467D0" w14:textId="77777777" w:rsidR="000D55D9" w:rsidRPr="000E272E" w:rsidRDefault="000D55D9" w:rsidP="000E272E">
            <w:pPr>
              <w:spacing w:before="40" w:after="40"/>
            </w:pPr>
            <w:r w:rsidRPr="000E272E">
              <w:t>Systematic identification and arrangement of business activities and/or records into categories according to logically structured conventions, methods and procedural rules represented in a classification system.</w:t>
            </w:r>
          </w:p>
        </w:tc>
      </w:tr>
      <w:tr w:rsidR="009A3AF3" w:rsidRPr="000E272E" w14:paraId="1DC3ECAC" w14:textId="77777777" w:rsidTr="00B533D4">
        <w:tc>
          <w:tcPr>
            <w:tcW w:w="2126" w:type="dxa"/>
          </w:tcPr>
          <w:p w14:paraId="0B2D3269" w14:textId="3AFB8756" w:rsidR="009A3AF3" w:rsidRPr="000E272E" w:rsidRDefault="000E272E" w:rsidP="000E272E">
            <w:pPr>
              <w:spacing w:before="40" w:after="40"/>
            </w:pPr>
            <w:r w:rsidRPr="000E272E">
              <w:t>Contractual</w:t>
            </w:r>
            <w:r w:rsidR="009A3AF3" w:rsidRPr="000E272E">
              <w:t xml:space="preserve"> Arrangements</w:t>
            </w:r>
          </w:p>
        </w:tc>
        <w:tc>
          <w:tcPr>
            <w:tcW w:w="7939" w:type="dxa"/>
          </w:tcPr>
          <w:p w14:paraId="5FF38F0E" w14:textId="3D969237" w:rsidR="009A3AF3" w:rsidRPr="000E272E" w:rsidRDefault="00A634BA" w:rsidP="000E272E">
            <w:pPr>
              <w:spacing w:before="40" w:after="40"/>
            </w:pPr>
            <w:r w:rsidRPr="000E272E">
              <w:t xml:space="preserve">A formal agreement between two or more parties, including between PSOs. Contractual arrangements include, but are not limited to, procurement </w:t>
            </w:r>
            <w:r w:rsidRPr="000E272E">
              <w:lastRenderedPageBreak/>
              <w:t xml:space="preserve">contracts, </w:t>
            </w:r>
            <w:r w:rsidR="000A0800" w:rsidRPr="000E272E">
              <w:t xml:space="preserve">funding contracts, </w:t>
            </w:r>
            <w:r w:rsidRPr="000E272E">
              <w:t xml:space="preserve">deeds, </w:t>
            </w:r>
            <w:proofErr w:type="gramStart"/>
            <w:r w:rsidRPr="000E272E">
              <w:t>contracts</w:t>
            </w:r>
            <w:proofErr w:type="gramEnd"/>
            <w:r w:rsidRPr="000E272E">
              <w:t xml:space="preserve"> under seal, </w:t>
            </w:r>
            <w:r w:rsidR="00C3798E" w:rsidRPr="000E272E">
              <w:t xml:space="preserve">service level agreements, </w:t>
            </w:r>
            <w:r w:rsidRPr="000E272E">
              <w:t>exchange of letters, and grant agreements.</w:t>
            </w:r>
          </w:p>
        </w:tc>
      </w:tr>
      <w:tr w:rsidR="000D55D9" w:rsidRPr="000E272E" w14:paraId="72C9CED3" w14:textId="77777777" w:rsidTr="00B533D4">
        <w:tc>
          <w:tcPr>
            <w:tcW w:w="2126" w:type="dxa"/>
          </w:tcPr>
          <w:p w14:paraId="1C39A872" w14:textId="77777777" w:rsidR="000D55D9" w:rsidRPr="000E272E" w:rsidRDefault="000D55D9" w:rsidP="000E272E">
            <w:pPr>
              <w:spacing w:before="40" w:after="40"/>
            </w:pPr>
            <w:r w:rsidRPr="000E272E">
              <w:lastRenderedPageBreak/>
              <w:t>Custodian</w:t>
            </w:r>
          </w:p>
        </w:tc>
        <w:tc>
          <w:tcPr>
            <w:tcW w:w="7939" w:type="dxa"/>
          </w:tcPr>
          <w:p w14:paraId="6AFFCF8A" w14:textId="77777777" w:rsidR="000D55D9" w:rsidRPr="000E272E" w:rsidRDefault="000D55D9" w:rsidP="000E272E">
            <w:pPr>
              <w:spacing w:before="40" w:after="40"/>
            </w:pPr>
            <w:r w:rsidRPr="000E272E">
              <w:t>The individual or agency that has the responsibility for the creation, collection, use, rule setting and integrity of the data.</w:t>
            </w:r>
          </w:p>
        </w:tc>
      </w:tr>
      <w:tr w:rsidR="00310C91" w:rsidRPr="000E272E" w14:paraId="1F0F26F9" w14:textId="77777777" w:rsidTr="00B533D4">
        <w:tc>
          <w:tcPr>
            <w:tcW w:w="2126" w:type="dxa"/>
          </w:tcPr>
          <w:p w14:paraId="4F056449" w14:textId="2356DD06" w:rsidR="00310C91" w:rsidRPr="000E272E" w:rsidRDefault="00310C91" w:rsidP="000E272E">
            <w:pPr>
              <w:spacing w:before="40" w:after="40"/>
            </w:pPr>
            <w:r w:rsidRPr="000E272E">
              <w:t>Disposal</w:t>
            </w:r>
          </w:p>
        </w:tc>
        <w:tc>
          <w:tcPr>
            <w:tcW w:w="7939" w:type="dxa"/>
          </w:tcPr>
          <w:p w14:paraId="1CE52D7F" w14:textId="0AA6E03A" w:rsidR="00310C91" w:rsidRPr="000E272E" w:rsidRDefault="00AE6EDD" w:rsidP="000E272E">
            <w:pPr>
              <w:spacing w:before="40" w:after="40"/>
            </w:pPr>
            <w:r w:rsidRPr="000E272E">
              <w:t>Disposal of a record includes</w:t>
            </w:r>
            <w:r w:rsidR="00B304E5" w:rsidRPr="000E272E">
              <w:t xml:space="preserve"> transferring the possession or control of the record; destroying, donating or selling the record; also includes damaging or abandoning a record.</w:t>
            </w:r>
            <w:r w:rsidR="00B304E5" w:rsidRPr="0041210E">
              <w:rPr>
                <w:vertAlign w:val="superscript"/>
              </w:rPr>
              <w:footnoteReference w:id="19"/>
            </w:r>
          </w:p>
        </w:tc>
      </w:tr>
      <w:tr w:rsidR="000D55D9" w:rsidRPr="000E272E" w14:paraId="5F6D5011" w14:textId="77777777" w:rsidTr="00B533D4">
        <w:tc>
          <w:tcPr>
            <w:tcW w:w="2126" w:type="dxa"/>
          </w:tcPr>
          <w:p w14:paraId="431071DC" w14:textId="77777777" w:rsidR="000D55D9" w:rsidRPr="000E272E" w:rsidRDefault="000D55D9" w:rsidP="000E272E">
            <w:pPr>
              <w:spacing w:before="40" w:after="40"/>
            </w:pPr>
            <w:r w:rsidRPr="000E272E">
              <w:t>Information</w:t>
            </w:r>
          </w:p>
        </w:tc>
        <w:tc>
          <w:tcPr>
            <w:tcW w:w="7939" w:type="dxa"/>
          </w:tcPr>
          <w:p w14:paraId="68ECCC7A" w14:textId="77777777" w:rsidR="000D55D9" w:rsidRPr="000E272E" w:rsidRDefault="000D55D9" w:rsidP="000E272E">
            <w:pPr>
              <w:spacing w:before="40" w:after="40"/>
            </w:pPr>
            <w:r w:rsidRPr="000E272E">
              <w:t>Knowledge communicated or received. The result of processing, gathering, manipulating and organising data in a way that adds to the knowledge of the receiver.</w:t>
            </w:r>
          </w:p>
        </w:tc>
      </w:tr>
      <w:tr w:rsidR="000D55D9" w:rsidRPr="000E272E" w14:paraId="47E95ADD" w14:textId="77777777" w:rsidTr="00B533D4">
        <w:tc>
          <w:tcPr>
            <w:tcW w:w="2126" w:type="dxa"/>
          </w:tcPr>
          <w:p w14:paraId="7FA57DA7" w14:textId="77777777" w:rsidR="000D55D9" w:rsidRPr="000E272E" w:rsidRDefault="000D55D9" w:rsidP="000E272E">
            <w:pPr>
              <w:spacing w:before="40" w:after="40"/>
            </w:pPr>
            <w:r w:rsidRPr="000E272E">
              <w:t>Information Asset</w:t>
            </w:r>
          </w:p>
        </w:tc>
        <w:tc>
          <w:tcPr>
            <w:tcW w:w="7939" w:type="dxa"/>
          </w:tcPr>
          <w:p w14:paraId="0AD27BF0" w14:textId="77777777" w:rsidR="000D55D9" w:rsidRPr="000E272E" w:rsidRDefault="000D55D9" w:rsidP="000E272E">
            <w:pPr>
              <w:spacing w:before="40" w:after="40"/>
            </w:pPr>
            <w:r w:rsidRPr="000E272E">
              <w:t>A body of information which is defined and managed as a single collection so it can be understood, shared, protected and exploited effectively. Information assets have recognisable and manageable value, risk, content and lifecycles.</w:t>
            </w:r>
          </w:p>
        </w:tc>
      </w:tr>
      <w:tr w:rsidR="000D55D9" w:rsidRPr="000E272E" w14:paraId="1FABCF2B" w14:textId="77777777" w:rsidTr="00B533D4">
        <w:tc>
          <w:tcPr>
            <w:tcW w:w="2126" w:type="dxa"/>
          </w:tcPr>
          <w:p w14:paraId="5E4F9E5C" w14:textId="77777777" w:rsidR="000D55D9" w:rsidRPr="000E272E" w:rsidRDefault="000D55D9" w:rsidP="000E272E">
            <w:pPr>
              <w:spacing w:before="40" w:after="40"/>
            </w:pPr>
            <w:r w:rsidRPr="000E272E">
              <w:t>Metadata</w:t>
            </w:r>
          </w:p>
        </w:tc>
        <w:tc>
          <w:tcPr>
            <w:tcW w:w="7939" w:type="dxa"/>
          </w:tcPr>
          <w:p w14:paraId="2F7B139A" w14:textId="77777777" w:rsidR="000D55D9" w:rsidRPr="000E272E" w:rsidRDefault="000D55D9" w:rsidP="000E272E">
            <w:pPr>
              <w:spacing w:before="40" w:after="40"/>
            </w:pPr>
            <w:r w:rsidRPr="000E272E">
              <w:t>Structured or semi-structured information which serves to provide context or additional information about other information [“data about data”]. For example, information which enables the creation, management and use of records through time.</w:t>
            </w:r>
          </w:p>
        </w:tc>
      </w:tr>
      <w:tr w:rsidR="005341C7" w:rsidRPr="000E272E" w14:paraId="0914EC52" w14:textId="77777777" w:rsidTr="00B533D4">
        <w:tc>
          <w:tcPr>
            <w:tcW w:w="2126" w:type="dxa"/>
          </w:tcPr>
          <w:p w14:paraId="1D375E65" w14:textId="77777777" w:rsidR="005341C7" w:rsidRPr="000E272E" w:rsidRDefault="005341C7" w:rsidP="000E272E">
            <w:pPr>
              <w:spacing w:before="40" w:after="40"/>
            </w:pPr>
            <w:r w:rsidRPr="000E272E">
              <w:t>Protective Marking</w:t>
            </w:r>
          </w:p>
        </w:tc>
        <w:tc>
          <w:tcPr>
            <w:tcW w:w="7939" w:type="dxa"/>
          </w:tcPr>
          <w:p w14:paraId="702CFDE3" w14:textId="3E68069F" w:rsidR="005341C7" w:rsidRPr="000E272E" w:rsidRDefault="006A0138" w:rsidP="000E272E">
            <w:pPr>
              <w:spacing w:before="40" w:after="40"/>
            </w:pPr>
            <w:r w:rsidRPr="000E272E">
              <w:t>Protective markings are security labels assigned to official information which indicate the minimum level of security protection required.</w:t>
            </w:r>
            <w:r w:rsidR="00E779F8" w:rsidRPr="000E272E">
              <w:t xml:space="preserve"> For example: security classifications; dissemination limiting markers; caveats.</w:t>
            </w:r>
          </w:p>
        </w:tc>
      </w:tr>
      <w:tr w:rsidR="000D55D9" w:rsidRPr="000E272E" w14:paraId="781D3E2E" w14:textId="77777777" w:rsidTr="00B533D4">
        <w:tc>
          <w:tcPr>
            <w:tcW w:w="2126" w:type="dxa"/>
          </w:tcPr>
          <w:p w14:paraId="02BACD33" w14:textId="77777777" w:rsidR="000D55D9" w:rsidRPr="000E272E" w:rsidRDefault="000D55D9" w:rsidP="000E272E">
            <w:pPr>
              <w:spacing w:before="40" w:after="40"/>
            </w:pPr>
            <w:r w:rsidRPr="000E272E">
              <w:t>Record</w:t>
            </w:r>
          </w:p>
        </w:tc>
        <w:tc>
          <w:tcPr>
            <w:tcW w:w="7939" w:type="dxa"/>
          </w:tcPr>
          <w:p w14:paraId="535ED4F9" w14:textId="77777777" w:rsidR="000D55D9" w:rsidRPr="000E272E" w:rsidRDefault="000D55D9" w:rsidP="000E272E">
            <w:pPr>
              <w:spacing w:before="40" w:after="40"/>
            </w:pPr>
            <w:r w:rsidRPr="000E272E">
              <w:t>Recorded information in any form (including data in a computer system) that is required to be kept by a PSO as evidence of the activities or operations of the organisation.</w:t>
            </w:r>
          </w:p>
        </w:tc>
      </w:tr>
      <w:tr w:rsidR="000D55D9" w:rsidRPr="000E272E" w14:paraId="2D34CA60" w14:textId="77777777" w:rsidTr="00B533D4">
        <w:tc>
          <w:tcPr>
            <w:tcW w:w="2126" w:type="dxa"/>
          </w:tcPr>
          <w:p w14:paraId="14E766DF" w14:textId="77777777" w:rsidR="000D55D9" w:rsidRPr="000E272E" w:rsidRDefault="000D55D9" w:rsidP="000E272E">
            <w:pPr>
              <w:spacing w:before="40" w:after="40"/>
            </w:pPr>
            <w:r w:rsidRPr="000E272E">
              <w:t>Records Management</w:t>
            </w:r>
          </w:p>
        </w:tc>
        <w:tc>
          <w:tcPr>
            <w:tcW w:w="7939" w:type="dxa"/>
          </w:tcPr>
          <w:p w14:paraId="0C622BBE" w14:textId="77777777" w:rsidR="000D55D9" w:rsidRPr="000E272E" w:rsidRDefault="000D55D9" w:rsidP="000E272E">
            <w:pPr>
              <w:spacing w:before="40" w:after="40"/>
            </w:pPr>
            <w:r w:rsidRPr="000E272E">
              <w:t>An integrated framework of governance arrangements, processes, systems, and tools that enable organisations to create and maintain trustworthy evidence of business activity in the form of records.</w:t>
            </w:r>
          </w:p>
        </w:tc>
      </w:tr>
      <w:tr w:rsidR="000D55D9" w:rsidRPr="000E272E" w14:paraId="00388210" w14:textId="77777777" w:rsidTr="00B533D4">
        <w:tc>
          <w:tcPr>
            <w:tcW w:w="2126" w:type="dxa"/>
          </w:tcPr>
          <w:p w14:paraId="5D44A11C" w14:textId="77777777" w:rsidR="000D55D9" w:rsidRPr="000E272E" w:rsidRDefault="000D55D9" w:rsidP="000E272E">
            <w:pPr>
              <w:spacing w:before="40" w:after="40"/>
            </w:pPr>
            <w:r w:rsidRPr="000E272E">
              <w:t>Records Management System</w:t>
            </w:r>
          </w:p>
        </w:tc>
        <w:tc>
          <w:tcPr>
            <w:tcW w:w="7939" w:type="dxa"/>
          </w:tcPr>
          <w:p w14:paraId="2CE5A004" w14:textId="77777777" w:rsidR="00BF524B" w:rsidRPr="000E272E" w:rsidRDefault="000D55D9" w:rsidP="000E272E">
            <w:pPr>
              <w:spacing w:before="40" w:after="40"/>
            </w:pPr>
            <w:r w:rsidRPr="000E272E">
              <w:t xml:space="preserve">A system which manages the </w:t>
            </w:r>
            <w:r w:rsidR="00BF524B" w:rsidRPr="000E272E">
              <w:t xml:space="preserve">capture, </w:t>
            </w:r>
            <w:r w:rsidRPr="000E272E">
              <w:t>maintenance and disposal of records. Records management systems maintain evidence of business transactions in accordance with organisational policy and procedure (includes business systems which keep records).</w:t>
            </w:r>
            <w:r w:rsidR="00BF524B" w:rsidRPr="000E272E">
              <w:t xml:space="preserve"> A records management system can consist of technical elements</w:t>
            </w:r>
            <w:r w:rsidR="009E36A8" w:rsidRPr="000E272E">
              <w:t>,</w:t>
            </w:r>
            <w:r w:rsidR="00BF524B" w:rsidRPr="000E272E">
              <w:t xml:space="preserve"> such as software, and non-technical elements including policy, procedures, people and other agents, and assigned responsibilities</w:t>
            </w:r>
          </w:p>
        </w:tc>
      </w:tr>
      <w:tr w:rsidR="000D55D9" w:rsidRPr="000E272E" w14:paraId="7E9BB3CB" w14:textId="77777777" w:rsidTr="00B533D4">
        <w:tc>
          <w:tcPr>
            <w:tcW w:w="2126" w:type="dxa"/>
          </w:tcPr>
          <w:p w14:paraId="12E253AA" w14:textId="77777777" w:rsidR="000D55D9" w:rsidRPr="000E272E" w:rsidRDefault="000D55D9" w:rsidP="000E272E">
            <w:pPr>
              <w:spacing w:before="40" w:after="40"/>
            </w:pPr>
            <w:r w:rsidRPr="000E272E">
              <w:t>Records Service</w:t>
            </w:r>
          </w:p>
        </w:tc>
        <w:tc>
          <w:tcPr>
            <w:tcW w:w="7939" w:type="dxa"/>
          </w:tcPr>
          <w:p w14:paraId="0FB06EEA" w14:textId="2164B4AF" w:rsidR="000D55D9" w:rsidRPr="000E272E" w:rsidRDefault="000D55D9" w:rsidP="000E272E">
            <w:pPr>
              <w:spacing w:before="40" w:after="40"/>
            </w:pPr>
            <w:r w:rsidRPr="000E272E">
              <w:t xml:space="preserve">The organisation established to perform the records functions for the Territory. (This involves standards setting and provision of advice at a whole of jurisdiction level. </w:t>
            </w:r>
            <w:r w:rsidR="00E779F8" w:rsidRPr="000E272E">
              <w:t>At time of publication</w:t>
            </w:r>
            <w:r w:rsidRPr="000E272E">
              <w:t xml:space="preserve"> this is the Digital Policy Unit of the</w:t>
            </w:r>
            <w:r w:rsidR="00E779F8" w:rsidRPr="000E272E">
              <w:t xml:space="preserve"> Office of Digital Government,</w:t>
            </w:r>
            <w:r w:rsidRPr="000E272E">
              <w:t xml:space="preserve"> Department of Corporate and Information Services)</w:t>
            </w:r>
          </w:p>
        </w:tc>
      </w:tr>
      <w:tr w:rsidR="00261281" w:rsidRPr="000E272E" w14:paraId="6B4D742B" w14:textId="77777777" w:rsidTr="00B533D4">
        <w:tc>
          <w:tcPr>
            <w:tcW w:w="2126" w:type="dxa"/>
          </w:tcPr>
          <w:p w14:paraId="69A5C1D3" w14:textId="156E8677" w:rsidR="00261281" w:rsidRPr="000E272E" w:rsidRDefault="00261281" w:rsidP="000E272E">
            <w:pPr>
              <w:spacing w:before="40" w:after="40"/>
            </w:pPr>
            <w:r w:rsidRPr="000E272E">
              <w:t>Unstructured Information</w:t>
            </w:r>
          </w:p>
        </w:tc>
        <w:tc>
          <w:tcPr>
            <w:tcW w:w="7939" w:type="dxa"/>
          </w:tcPr>
          <w:p w14:paraId="1709BABC" w14:textId="0186AEFB" w:rsidR="00261281" w:rsidRPr="000E272E" w:rsidRDefault="00EB091B" w:rsidP="000E272E">
            <w:pPr>
              <w:spacing w:before="40" w:after="40"/>
            </w:pPr>
            <w:r w:rsidRPr="000E272E">
              <w:t xml:space="preserve">Unstructured information refers to information that is not contained within a database, or organized in some pre-defined manner, and which has no defined </w:t>
            </w:r>
            <w:hyperlink r:id="rId17" w:tooltip="Data model" w:history="1">
              <w:r w:rsidRPr="000E272E">
                <w:rPr>
                  <w:rStyle w:val="Hyperlink"/>
                </w:rPr>
                <w:t>data structure or model</w:t>
              </w:r>
            </w:hyperlink>
            <w:r w:rsidRPr="000E272E">
              <w:t xml:space="preserve"> giving the information context. Examples of unstructured information include word processing documents, emails, spreadsheets, and instant messages.</w:t>
            </w:r>
          </w:p>
        </w:tc>
      </w:tr>
    </w:tbl>
    <w:p w14:paraId="705BDCEE" w14:textId="77777777" w:rsidR="0041210E" w:rsidRPr="0041210E" w:rsidRDefault="0041210E" w:rsidP="0041210E">
      <w:r w:rsidRPr="0041210E">
        <w:br w:type="page"/>
      </w:r>
    </w:p>
    <w:p w14:paraId="364D6C43" w14:textId="3B7771F7" w:rsidR="000D55D9" w:rsidRDefault="000F7D9E" w:rsidP="00AB698F">
      <w:pPr>
        <w:pStyle w:val="Heading1"/>
      </w:pPr>
      <w:bookmarkStart w:id="507" w:name="_Toc506462958"/>
      <w:r>
        <w:lastRenderedPageBreak/>
        <w:t xml:space="preserve">Glossary of </w:t>
      </w:r>
      <w:r w:rsidR="000D55D9">
        <w:t>Acronyms</w:t>
      </w:r>
      <w:bookmarkEnd w:id="507"/>
    </w:p>
    <w:tbl>
      <w:tblPr>
        <w:tblStyle w:val="NTGTable"/>
        <w:tblW w:w="10065" w:type="dxa"/>
        <w:tblInd w:w="-5" w:type="dxa"/>
        <w:tblLook w:val="06A0" w:firstRow="1" w:lastRow="0" w:firstColumn="1" w:lastColumn="0" w:noHBand="1" w:noVBand="1"/>
        <w:tblDescription w:val="Acronyms used in the document showing Acronym and full form"/>
      </w:tblPr>
      <w:tblGrid>
        <w:gridCol w:w="2239"/>
        <w:gridCol w:w="7826"/>
      </w:tblGrid>
      <w:tr w:rsidR="000F7D9E" w:rsidRPr="005F764E" w14:paraId="4D44609D" w14:textId="77777777" w:rsidTr="000E272E">
        <w:trPr>
          <w:cnfStyle w:val="100000000000" w:firstRow="1" w:lastRow="0" w:firstColumn="0" w:lastColumn="0" w:oddVBand="0" w:evenVBand="0" w:oddHBand="0" w:evenHBand="0" w:firstRowFirstColumn="0" w:firstRowLastColumn="0" w:lastRowFirstColumn="0" w:lastRowLastColumn="0"/>
        </w:trPr>
        <w:tc>
          <w:tcPr>
            <w:tcW w:w="2239" w:type="dxa"/>
          </w:tcPr>
          <w:p w14:paraId="533F1996" w14:textId="77777777" w:rsidR="000F7D9E" w:rsidRPr="005F764E" w:rsidRDefault="000F7D9E" w:rsidP="00EA3E3E">
            <w:pPr>
              <w:pStyle w:val="NTGTableText"/>
              <w:rPr>
                <w:b w:val="0"/>
              </w:rPr>
            </w:pPr>
            <w:r w:rsidRPr="005F764E">
              <w:t>Acronyms</w:t>
            </w:r>
          </w:p>
        </w:tc>
        <w:tc>
          <w:tcPr>
            <w:tcW w:w="7826" w:type="dxa"/>
          </w:tcPr>
          <w:p w14:paraId="36C561C4" w14:textId="77777777" w:rsidR="000F7D9E" w:rsidRPr="005F764E" w:rsidRDefault="000F7D9E" w:rsidP="00EA3E3E">
            <w:pPr>
              <w:pStyle w:val="NTGTableText"/>
              <w:rPr>
                <w:b w:val="0"/>
              </w:rPr>
            </w:pPr>
            <w:r w:rsidRPr="005F764E">
              <w:t>Full form</w:t>
            </w:r>
          </w:p>
        </w:tc>
      </w:tr>
      <w:tr w:rsidR="000F7D9E" w:rsidRPr="002E3B83" w14:paraId="748B87D2" w14:textId="77777777" w:rsidTr="000E272E">
        <w:tc>
          <w:tcPr>
            <w:tcW w:w="2239" w:type="dxa"/>
          </w:tcPr>
          <w:p w14:paraId="533B3AA7" w14:textId="77777777" w:rsidR="000F7D9E" w:rsidRPr="002E3B83" w:rsidRDefault="000F7D9E" w:rsidP="00EA3E3E">
            <w:pPr>
              <w:pStyle w:val="NTGTableText"/>
            </w:pPr>
            <w:r>
              <w:t>DLM</w:t>
            </w:r>
          </w:p>
        </w:tc>
        <w:tc>
          <w:tcPr>
            <w:tcW w:w="7826" w:type="dxa"/>
          </w:tcPr>
          <w:p w14:paraId="22460DC8" w14:textId="77777777" w:rsidR="000F7D9E" w:rsidRPr="002E3B83" w:rsidRDefault="000F7D9E" w:rsidP="00EA3E3E">
            <w:pPr>
              <w:pStyle w:val="NTGTableText"/>
            </w:pPr>
            <w:r>
              <w:t>Dissemination Limiting Marker</w:t>
            </w:r>
          </w:p>
        </w:tc>
      </w:tr>
      <w:tr w:rsidR="000F7D9E" w:rsidRPr="002E3B83" w14:paraId="6DF6B303" w14:textId="77777777" w:rsidTr="000E272E">
        <w:tc>
          <w:tcPr>
            <w:tcW w:w="2239" w:type="dxa"/>
          </w:tcPr>
          <w:p w14:paraId="27E67F26" w14:textId="77777777" w:rsidR="000F7D9E" w:rsidRPr="002E3B83" w:rsidRDefault="000F7D9E" w:rsidP="00EA3E3E">
            <w:pPr>
              <w:pStyle w:val="NTGTableText"/>
            </w:pPr>
            <w:r>
              <w:t>FOUO</w:t>
            </w:r>
          </w:p>
        </w:tc>
        <w:tc>
          <w:tcPr>
            <w:tcW w:w="7826" w:type="dxa"/>
          </w:tcPr>
          <w:p w14:paraId="50A89205" w14:textId="77777777" w:rsidR="000F7D9E" w:rsidRPr="002E3B83" w:rsidRDefault="000F7D9E" w:rsidP="00EA3E3E">
            <w:pPr>
              <w:pStyle w:val="NTGTableText"/>
            </w:pPr>
            <w:r>
              <w:t>For Official Use Only</w:t>
            </w:r>
          </w:p>
        </w:tc>
      </w:tr>
      <w:tr w:rsidR="000F7D9E" w:rsidRPr="002E3B83" w14:paraId="1370C752" w14:textId="77777777" w:rsidTr="000E272E">
        <w:tc>
          <w:tcPr>
            <w:tcW w:w="2239" w:type="dxa"/>
          </w:tcPr>
          <w:p w14:paraId="2C3E7B31" w14:textId="77777777" w:rsidR="000F7D9E" w:rsidRPr="002E3B83" w:rsidRDefault="000F7D9E" w:rsidP="00EA3E3E">
            <w:pPr>
              <w:pStyle w:val="NTGTableText"/>
            </w:pPr>
            <w:r>
              <w:t>NT</w:t>
            </w:r>
          </w:p>
        </w:tc>
        <w:tc>
          <w:tcPr>
            <w:tcW w:w="7826" w:type="dxa"/>
          </w:tcPr>
          <w:p w14:paraId="7408DF70" w14:textId="77777777" w:rsidR="000F7D9E" w:rsidRPr="002E3B83" w:rsidRDefault="000F7D9E" w:rsidP="00EA3E3E">
            <w:pPr>
              <w:pStyle w:val="NTGTableText"/>
            </w:pPr>
            <w:r>
              <w:t>Northern Territory</w:t>
            </w:r>
          </w:p>
        </w:tc>
      </w:tr>
      <w:tr w:rsidR="000F7D9E" w:rsidRPr="002E3B83" w14:paraId="26F50E78" w14:textId="77777777" w:rsidTr="000E272E">
        <w:tc>
          <w:tcPr>
            <w:tcW w:w="2239" w:type="dxa"/>
          </w:tcPr>
          <w:p w14:paraId="689B6389" w14:textId="77777777" w:rsidR="000F7D9E" w:rsidRPr="002E3B83" w:rsidRDefault="000F7D9E" w:rsidP="00EA3E3E">
            <w:pPr>
              <w:pStyle w:val="NTGTableText"/>
            </w:pPr>
            <w:r>
              <w:t>NTG</w:t>
            </w:r>
          </w:p>
        </w:tc>
        <w:tc>
          <w:tcPr>
            <w:tcW w:w="7826" w:type="dxa"/>
          </w:tcPr>
          <w:p w14:paraId="2C467B4D" w14:textId="77777777" w:rsidR="000F7D9E" w:rsidRPr="002E3B83" w:rsidRDefault="000F7D9E" w:rsidP="00EA3E3E">
            <w:pPr>
              <w:pStyle w:val="NTGTableText"/>
            </w:pPr>
            <w:r>
              <w:t>Northern Territory Government</w:t>
            </w:r>
          </w:p>
        </w:tc>
      </w:tr>
      <w:tr w:rsidR="000F7D9E" w:rsidRPr="002E3B83" w14:paraId="11CEEDE8" w14:textId="77777777" w:rsidTr="000E272E">
        <w:tc>
          <w:tcPr>
            <w:tcW w:w="2239" w:type="dxa"/>
          </w:tcPr>
          <w:p w14:paraId="2238CEBD" w14:textId="77777777" w:rsidR="000F7D9E" w:rsidRDefault="000F7D9E" w:rsidP="00EA3E3E">
            <w:pPr>
              <w:pStyle w:val="NTGTableText"/>
            </w:pPr>
            <w:r>
              <w:t>NTG PSO</w:t>
            </w:r>
          </w:p>
        </w:tc>
        <w:tc>
          <w:tcPr>
            <w:tcW w:w="7826" w:type="dxa"/>
          </w:tcPr>
          <w:p w14:paraId="785FE486" w14:textId="7988D356" w:rsidR="000F7D9E" w:rsidRDefault="000F7D9E" w:rsidP="00826C9C">
            <w:pPr>
              <w:pStyle w:val="NTGTableText"/>
            </w:pPr>
            <w:r>
              <w:t>Public se</w:t>
            </w:r>
            <w:r w:rsidR="00202937">
              <w:t>ctor organisation listed as an a</w:t>
            </w:r>
            <w:r>
              <w:t>gency</w:t>
            </w:r>
            <w:r w:rsidR="008E0559">
              <w:t xml:space="preserve"> </w:t>
            </w:r>
            <w:r>
              <w:t>in the Administrative Arrangements Order</w:t>
            </w:r>
          </w:p>
        </w:tc>
      </w:tr>
      <w:tr w:rsidR="000F7D9E" w:rsidRPr="002E3B83" w14:paraId="18F42962" w14:textId="77777777" w:rsidTr="000E272E">
        <w:tc>
          <w:tcPr>
            <w:tcW w:w="2239" w:type="dxa"/>
          </w:tcPr>
          <w:p w14:paraId="4A898F42" w14:textId="77777777" w:rsidR="000F7D9E" w:rsidRPr="002E3B83" w:rsidRDefault="000F7D9E" w:rsidP="00EA3E3E">
            <w:pPr>
              <w:pStyle w:val="NTGTableText"/>
            </w:pPr>
            <w:r>
              <w:t>PSO</w:t>
            </w:r>
          </w:p>
        </w:tc>
        <w:tc>
          <w:tcPr>
            <w:tcW w:w="7826" w:type="dxa"/>
          </w:tcPr>
          <w:p w14:paraId="1A49B6BD" w14:textId="70AF0D28" w:rsidR="000F7D9E" w:rsidRPr="002E3B83" w:rsidRDefault="000F7D9E" w:rsidP="00EA3E3E">
            <w:pPr>
              <w:pStyle w:val="NTGTableText"/>
            </w:pPr>
            <w:r>
              <w:t>Public Sector Org</w:t>
            </w:r>
            <w:r w:rsidR="00202937">
              <w:t>anisation as defined in Section </w:t>
            </w:r>
            <w:r>
              <w:t xml:space="preserve">5 of the </w:t>
            </w:r>
            <w:r w:rsidRPr="006F3FEF">
              <w:rPr>
                <w:i/>
              </w:rPr>
              <w:t>Information Act</w:t>
            </w:r>
          </w:p>
        </w:tc>
      </w:tr>
      <w:tr w:rsidR="000F7D9E" w:rsidRPr="002E3B83" w14:paraId="62E4367A" w14:textId="77777777" w:rsidTr="000E272E">
        <w:tc>
          <w:tcPr>
            <w:tcW w:w="2239" w:type="dxa"/>
          </w:tcPr>
          <w:p w14:paraId="69E45B55" w14:textId="77777777" w:rsidR="000F7D9E" w:rsidRPr="002E3B83" w:rsidRDefault="000F7D9E" w:rsidP="00EA3E3E">
            <w:pPr>
              <w:pStyle w:val="NTGTableText"/>
            </w:pPr>
            <w:r>
              <w:t>PSPF</w:t>
            </w:r>
          </w:p>
        </w:tc>
        <w:tc>
          <w:tcPr>
            <w:tcW w:w="7826" w:type="dxa"/>
          </w:tcPr>
          <w:p w14:paraId="7890B7B3" w14:textId="77777777" w:rsidR="000F7D9E" w:rsidRPr="002E3B83" w:rsidRDefault="000F7D9E" w:rsidP="00EA3E3E">
            <w:pPr>
              <w:pStyle w:val="NTGTableText"/>
            </w:pPr>
            <w:r>
              <w:t>Protective Security Policy Framework</w:t>
            </w:r>
          </w:p>
        </w:tc>
      </w:tr>
    </w:tbl>
    <w:p w14:paraId="276F5E42" w14:textId="34E27FB9" w:rsidR="0009463E" w:rsidRPr="00274F1C" w:rsidRDefault="000E272E" w:rsidP="000E272E">
      <w:pPr>
        <w:pStyle w:val="Heading1"/>
      </w:pPr>
      <w:bookmarkStart w:id="508" w:name="_Toc506462959"/>
      <w:r>
        <w:t>Key r</w:t>
      </w:r>
      <w:r w:rsidR="0009463E">
        <w:t>eference</w:t>
      </w:r>
      <w:r w:rsidR="00635A42">
        <w:t>s</w:t>
      </w:r>
      <w:bookmarkEnd w:id="505"/>
      <w:bookmarkEnd w:id="508"/>
    </w:p>
    <w:p w14:paraId="767FDA4C" w14:textId="001605F7" w:rsidR="0066047C" w:rsidRPr="000E272E" w:rsidRDefault="000E272E" w:rsidP="000E272E">
      <w:pPr>
        <w:pStyle w:val="ListBullet"/>
        <w:rPr>
          <w:b/>
        </w:rPr>
      </w:pPr>
      <w:r>
        <w:rPr>
          <w:b/>
        </w:rPr>
        <w:t>Australian and i</w:t>
      </w:r>
      <w:r w:rsidR="0066047C" w:rsidRPr="000E272E">
        <w:rPr>
          <w:b/>
        </w:rPr>
        <w:t xml:space="preserve">nternational </w:t>
      </w:r>
      <w:r>
        <w:rPr>
          <w:b/>
        </w:rPr>
        <w:t>s</w:t>
      </w:r>
      <w:r w:rsidR="0066047C" w:rsidRPr="000E272E">
        <w:rPr>
          <w:b/>
        </w:rPr>
        <w:t>tandards</w:t>
      </w:r>
    </w:p>
    <w:p w14:paraId="21E69687" w14:textId="5792947B" w:rsidR="00324E24" w:rsidRDefault="009B72BD" w:rsidP="000E272E">
      <w:pPr>
        <w:pStyle w:val="ListBullet2"/>
      </w:pPr>
      <w:r>
        <w:t xml:space="preserve">International </w:t>
      </w:r>
      <w:r w:rsidR="00DB3AC6">
        <w:t>Standards Organisation</w:t>
      </w:r>
      <w:r w:rsidR="000E272E">
        <w:t> </w:t>
      </w:r>
      <w:r w:rsidR="00324E24">
        <w:t>20</w:t>
      </w:r>
      <w:r w:rsidR="00DB3AC6">
        <w:t>10</w:t>
      </w:r>
      <w:r w:rsidR="00324E24" w:rsidRPr="00202937">
        <w:t xml:space="preserve">, </w:t>
      </w:r>
      <w:r w:rsidR="00324E24" w:rsidRPr="00202937">
        <w:rPr>
          <w:i/>
        </w:rPr>
        <w:t>Principles and functional requirements for records in electronic office environments</w:t>
      </w:r>
      <w:r w:rsidRPr="00202937">
        <w:t>:</w:t>
      </w:r>
      <w:r>
        <w:t xml:space="preserve"> </w:t>
      </w:r>
      <w:r w:rsidRPr="00202937">
        <w:rPr>
          <w:i/>
        </w:rPr>
        <w:t>Module</w:t>
      </w:r>
      <w:r w:rsidR="000E272E" w:rsidRPr="00202937">
        <w:rPr>
          <w:i/>
        </w:rPr>
        <w:t> 3</w:t>
      </w:r>
      <w:r w:rsidRPr="00202937">
        <w:rPr>
          <w:i/>
        </w:rPr>
        <w:t>: Guidelines and function requirements for records in business systems</w:t>
      </w:r>
      <w:r w:rsidR="00DB3AC6">
        <w:t>, ISO</w:t>
      </w:r>
      <w:r w:rsidR="000E272E">
        <w:t> </w:t>
      </w:r>
      <w:r w:rsidR="00DB3AC6">
        <w:t>16175-3:2010(E)</w:t>
      </w:r>
      <w:r>
        <w:t>.</w:t>
      </w:r>
    </w:p>
    <w:p w14:paraId="26296D1F" w14:textId="04EEC83F" w:rsidR="00C00C9A" w:rsidRDefault="00C00C9A" w:rsidP="000E272E">
      <w:pPr>
        <w:pStyle w:val="ListBullet2"/>
      </w:pPr>
      <w:r>
        <w:t xml:space="preserve">International </w:t>
      </w:r>
      <w:r w:rsidR="00B220EA">
        <w:t>Organisation for Standardization</w:t>
      </w:r>
      <w:r w:rsidR="000E272E">
        <w:t> </w:t>
      </w:r>
      <w:r>
        <w:t xml:space="preserve">2016, </w:t>
      </w:r>
      <w:r w:rsidRPr="00202937">
        <w:rPr>
          <w:i/>
        </w:rPr>
        <w:t>Information and documentation – Records management – Part</w:t>
      </w:r>
      <w:r w:rsidR="00202937">
        <w:rPr>
          <w:i/>
        </w:rPr>
        <w:t> </w:t>
      </w:r>
      <w:r w:rsidRPr="00202937">
        <w:rPr>
          <w:i/>
        </w:rPr>
        <w:t>1: Concepts and principles</w:t>
      </w:r>
      <w:r w:rsidR="00EC36B3">
        <w:t>, ISO</w:t>
      </w:r>
      <w:r w:rsidR="000E272E">
        <w:t> </w:t>
      </w:r>
      <w:r w:rsidR="00EC36B3">
        <w:t>15489-1:2016(E)</w:t>
      </w:r>
      <w:r w:rsidR="0050790E">
        <w:t>.</w:t>
      </w:r>
    </w:p>
    <w:p w14:paraId="1E4BFAF5" w14:textId="61C8DEB1" w:rsidR="0009463E" w:rsidRDefault="0009463E" w:rsidP="000E272E">
      <w:pPr>
        <w:pStyle w:val="ListBullet2"/>
      </w:pPr>
      <w:r>
        <w:t>Standards Australia</w:t>
      </w:r>
      <w:r w:rsidR="00202937">
        <w:t xml:space="preserve"> International </w:t>
      </w:r>
      <w:r>
        <w:t xml:space="preserve">2002, </w:t>
      </w:r>
      <w:r w:rsidRPr="009B287B">
        <w:rPr>
          <w:i/>
        </w:rPr>
        <w:t>Records Management – Part</w:t>
      </w:r>
      <w:r w:rsidR="00202937">
        <w:rPr>
          <w:i/>
        </w:rPr>
        <w:t> </w:t>
      </w:r>
      <w:r>
        <w:rPr>
          <w:i/>
        </w:rPr>
        <w:t>2</w:t>
      </w:r>
      <w:r w:rsidRPr="009B287B">
        <w:rPr>
          <w:i/>
        </w:rPr>
        <w:t>: G</w:t>
      </w:r>
      <w:r>
        <w:rPr>
          <w:i/>
        </w:rPr>
        <w:t>uidelines</w:t>
      </w:r>
      <w:r w:rsidR="0009136A">
        <w:rPr>
          <w:i/>
        </w:rPr>
        <w:t xml:space="preserve">, </w:t>
      </w:r>
      <w:r w:rsidR="0009136A" w:rsidRPr="0009136A">
        <w:t>AS</w:t>
      </w:r>
      <w:r w:rsidR="00202937">
        <w:t> </w:t>
      </w:r>
      <w:r w:rsidR="0009136A">
        <w:t>ISO</w:t>
      </w:r>
      <w:r w:rsidR="00202937">
        <w:t> </w:t>
      </w:r>
      <w:r w:rsidR="0009136A">
        <w:t>15489.2</w:t>
      </w:r>
      <w:r w:rsidR="00202937">
        <w:t> </w:t>
      </w:r>
      <w:r w:rsidR="0009136A">
        <w:t>–</w:t>
      </w:r>
      <w:r w:rsidR="00202937">
        <w:t> </w:t>
      </w:r>
      <w:r w:rsidR="0009136A">
        <w:t>2002</w:t>
      </w:r>
      <w:r w:rsidR="0050790E">
        <w:t>.</w:t>
      </w:r>
    </w:p>
    <w:p w14:paraId="63E7416C" w14:textId="1F23EC79" w:rsidR="0009463E" w:rsidRDefault="0009463E" w:rsidP="000E272E">
      <w:pPr>
        <w:pStyle w:val="ListBullet2"/>
      </w:pPr>
      <w:r>
        <w:t>Standards Australia Limited/Standards New</w:t>
      </w:r>
      <w:r w:rsidR="000E272E">
        <w:t> </w:t>
      </w:r>
      <w:r>
        <w:t>Zealand</w:t>
      </w:r>
      <w:r w:rsidR="000E272E">
        <w:t> </w:t>
      </w:r>
      <w:r>
        <w:t xml:space="preserve">2012, </w:t>
      </w:r>
      <w:r w:rsidRPr="000A6DD9">
        <w:rPr>
          <w:i/>
        </w:rPr>
        <w:t>Information and documentation – Management systems for recordkeeping – Fundamentals and vocabulary</w:t>
      </w:r>
      <w:r w:rsidR="000A6DD9">
        <w:t>, AS/NZS</w:t>
      </w:r>
      <w:r w:rsidR="000E272E">
        <w:t> </w:t>
      </w:r>
      <w:r w:rsidR="000A6DD9">
        <w:t>ISO</w:t>
      </w:r>
      <w:r w:rsidR="000E272E">
        <w:t> </w:t>
      </w:r>
      <w:r w:rsidR="000A6DD9">
        <w:t>30300</w:t>
      </w:r>
      <w:r w:rsidR="000E272E">
        <w:t> – </w:t>
      </w:r>
      <w:r w:rsidR="000A6DD9">
        <w:t>2012:</w:t>
      </w:r>
      <w:r>
        <w:t xml:space="preserve"> (ISO</w:t>
      </w:r>
      <w:r w:rsidR="000E272E">
        <w:t> </w:t>
      </w:r>
      <w:r>
        <w:t>30300:2011, MOD)</w:t>
      </w:r>
    </w:p>
    <w:p w14:paraId="39C5C3D2" w14:textId="5936F458" w:rsidR="0009463E" w:rsidRDefault="0009463E" w:rsidP="000E272E">
      <w:pPr>
        <w:pStyle w:val="ListBullet2"/>
      </w:pPr>
      <w:r>
        <w:t>Standards Australia Limited/Standards New</w:t>
      </w:r>
      <w:r w:rsidR="000E272E">
        <w:t> </w:t>
      </w:r>
      <w:r>
        <w:t>Zealand</w:t>
      </w:r>
      <w:r w:rsidR="000E272E">
        <w:t> </w:t>
      </w:r>
      <w:r>
        <w:t xml:space="preserve">2012, </w:t>
      </w:r>
      <w:r w:rsidRPr="000A6DD9">
        <w:rPr>
          <w:i/>
        </w:rPr>
        <w:t>Information and documentation – Management systems for recordkeeping – Requirements</w:t>
      </w:r>
      <w:r w:rsidR="000A6DD9">
        <w:t>, AS/NZS</w:t>
      </w:r>
      <w:r w:rsidR="000E272E">
        <w:t> </w:t>
      </w:r>
      <w:r w:rsidR="000A6DD9">
        <w:t>ISO</w:t>
      </w:r>
      <w:r w:rsidR="000E272E">
        <w:t> </w:t>
      </w:r>
      <w:r w:rsidR="000A6DD9">
        <w:t>3030</w:t>
      </w:r>
      <w:r w:rsidR="00E5211A">
        <w:t>1</w:t>
      </w:r>
      <w:r w:rsidR="000E272E">
        <w:t> </w:t>
      </w:r>
      <w:r w:rsidR="000A6DD9">
        <w:t>–</w:t>
      </w:r>
      <w:r w:rsidR="000E272E">
        <w:t> </w:t>
      </w:r>
      <w:r w:rsidR="000A6DD9">
        <w:t>2012:</w:t>
      </w:r>
      <w:r w:rsidR="000E272E">
        <w:t xml:space="preserve"> (ISO </w:t>
      </w:r>
      <w:r>
        <w:t>30301:2011, MOD)</w:t>
      </w:r>
    </w:p>
    <w:p w14:paraId="2F053C9C" w14:textId="6DCE5DCA" w:rsidR="00E5211A" w:rsidRPr="00E5211A" w:rsidRDefault="00E5211A" w:rsidP="000E272E">
      <w:pPr>
        <w:pStyle w:val="ListBullet2"/>
      </w:pPr>
      <w:r>
        <w:t>Standards Australia Limited/Standards New</w:t>
      </w:r>
      <w:r w:rsidR="000E272E">
        <w:t> </w:t>
      </w:r>
      <w:r>
        <w:t>Zealand</w:t>
      </w:r>
      <w:r w:rsidR="000E272E">
        <w:t> </w:t>
      </w:r>
      <w:r>
        <w:t xml:space="preserve">2015, </w:t>
      </w:r>
      <w:r>
        <w:rPr>
          <w:i/>
        </w:rPr>
        <w:t xml:space="preserve">Recordkeeping metadata property reference set (RMPRS), </w:t>
      </w:r>
      <w:r>
        <w:t>AS/NZS</w:t>
      </w:r>
      <w:r w:rsidR="000E272E">
        <w:t> </w:t>
      </w:r>
      <w:r>
        <w:t>5478:2015</w:t>
      </w:r>
    </w:p>
    <w:p w14:paraId="72F6253B" w14:textId="77777777" w:rsidR="000E70DA" w:rsidRPr="000E272E" w:rsidRDefault="000E70DA" w:rsidP="000E272E">
      <w:pPr>
        <w:pStyle w:val="ListBullet"/>
        <w:rPr>
          <w:b/>
        </w:rPr>
      </w:pPr>
      <w:r w:rsidRPr="000E272E">
        <w:rPr>
          <w:b/>
          <w:i/>
        </w:rPr>
        <w:t>Information Act</w:t>
      </w:r>
      <w:r w:rsidRPr="000E272E">
        <w:rPr>
          <w:b/>
        </w:rPr>
        <w:t xml:space="preserve"> (NT)</w:t>
      </w:r>
    </w:p>
    <w:p w14:paraId="67FF2F62" w14:textId="77777777" w:rsidR="000E70DA" w:rsidRPr="000E272E" w:rsidRDefault="000E70DA" w:rsidP="000E272E">
      <w:pPr>
        <w:pStyle w:val="ListBullet2"/>
        <w:rPr>
          <w:i/>
        </w:rPr>
      </w:pPr>
      <w:r w:rsidRPr="000E272E">
        <w:rPr>
          <w:i/>
        </w:rPr>
        <w:t>Information Act</w:t>
      </w:r>
    </w:p>
    <w:p w14:paraId="43C9B29F" w14:textId="6CAABB05" w:rsidR="0009463E" w:rsidRPr="000E272E" w:rsidRDefault="0009463E" w:rsidP="000E272E">
      <w:pPr>
        <w:pStyle w:val="ListBullet"/>
        <w:rPr>
          <w:b/>
        </w:rPr>
      </w:pPr>
      <w:r w:rsidRPr="000E272E">
        <w:rPr>
          <w:b/>
        </w:rPr>
        <w:t>P</w:t>
      </w:r>
      <w:r w:rsidR="0066047C" w:rsidRPr="000E272E">
        <w:rPr>
          <w:b/>
        </w:rPr>
        <w:t xml:space="preserve">rotective </w:t>
      </w:r>
      <w:r w:rsidRPr="000E272E">
        <w:rPr>
          <w:b/>
        </w:rPr>
        <w:t>S</w:t>
      </w:r>
      <w:r w:rsidR="0066047C" w:rsidRPr="000E272E">
        <w:rPr>
          <w:b/>
        </w:rPr>
        <w:t xml:space="preserve">ecurity </w:t>
      </w:r>
      <w:r w:rsidRPr="000E272E">
        <w:rPr>
          <w:b/>
        </w:rPr>
        <w:t>P</w:t>
      </w:r>
      <w:r w:rsidR="0066047C" w:rsidRPr="000E272E">
        <w:rPr>
          <w:b/>
        </w:rPr>
        <w:t xml:space="preserve">olicy </w:t>
      </w:r>
      <w:r w:rsidRPr="000E272E">
        <w:rPr>
          <w:b/>
        </w:rPr>
        <w:t>F</w:t>
      </w:r>
      <w:r w:rsidR="000E272E" w:rsidRPr="000E272E">
        <w:rPr>
          <w:b/>
        </w:rPr>
        <w:t>ramework (PSPF) –</w:t>
      </w:r>
      <w:r w:rsidR="000E272E">
        <w:rPr>
          <w:b/>
        </w:rPr>
        <w:t xml:space="preserve"> Security c</w:t>
      </w:r>
      <w:r w:rsidRPr="000E272E">
        <w:rPr>
          <w:b/>
        </w:rPr>
        <w:t>lassification</w:t>
      </w:r>
    </w:p>
    <w:p w14:paraId="2BD64672" w14:textId="5784C82A" w:rsidR="0009463E" w:rsidRPr="00246813" w:rsidRDefault="00334C5F" w:rsidP="000E272E">
      <w:pPr>
        <w:pStyle w:val="ListBullet2"/>
      </w:pPr>
      <w:r w:rsidRPr="00246813">
        <w:t>Protective Security Poli</w:t>
      </w:r>
      <w:r w:rsidR="000E272E">
        <w:t>cy Committee (approved November </w:t>
      </w:r>
      <w:r w:rsidRPr="00246813">
        <w:t>2014; am</w:t>
      </w:r>
      <w:r>
        <w:t>ended April</w:t>
      </w:r>
      <w:r w:rsidR="000E272E">
        <w:t> </w:t>
      </w:r>
      <w:r>
        <w:t xml:space="preserve">2015), </w:t>
      </w:r>
      <w:r w:rsidR="0009463E" w:rsidRPr="00334C5F">
        <w:rPr>
          <w:i/>
        </w:rPr>
        <w:t>Information Security Management Guidelines: Australian Government Security Classification System</w:t>
      </w:r>
      <w:r>
        <w:t xml:space="preserve">, </w:t>
      </w:r>
      <w:r w:rsidR="0009463E" w:rsidRPr="00246813">
        <w:t>Attorney-General’s Department,</w:t>
      </w:r>
      <w:r>
        <w:t xml:space="preserve"> Canberra.</w:t>
      </w:r>
    </w:p>
    <w:p w14:paraId="56593E3B" w14:textId="1BFFE4B4" w:rsidR="0009463E" w:rsidRPr="00246813" w:rsidRDefault="00334C5F" w:rsidP="000E272E">
      <w:pPr>
        <w:pStyle w:val="ListBullet2"/>
      </w:pPr>
      <w:r w:rsidRPr="00246813">
        <w:t>Prote</w:t>
      </w:r>
      <w:r>
        <w:t xml:space="preserve">ctive Security Policy Committee </w:t>
      </w:r>
      <w:r w:rsidR="00202937">
        <w:t>(approved 21 </w:t>
      </w:r>
      <w:r w:rsidRPr="00246813">
        <w:t>June</w:t>
      </w:r>
      <w:r w:rsidR="00202937">
        <w:t> </w:t>
      </w:r>
      <w:r w:rsidRPr="00246813">
        <w:t>2011; amended April</w:t>
      </w:r>
      <w:r w:rsidR="00202937">
        <w:t> </w:t>
      </w:r>
      <w:r w:rsidRPr="00246813">
        <w:t>201</w:t>
      </w:r>
      <w:r>
        <w:t xml:space="preserve">5), </w:t>
      </w:r>
      <w:r w:rsidR="0009463E" w:rsidRPr="00334C5F">
        <w:rPr>
          <w:i/>
        </w:rPr>
        <w:t>Information Security Management Guidelines: Protectively Marking and Handling Sensitive and Security Classified Information</w:t>
      </w:r>
      <w:r>
        <w:t xml:space="preserve">, </w:t>
      </w:r>
      <w:r w:rsidR="0009463E" w:rsidRPr="00246813">
        <w:t xml:space="preserve">Attorney-General’s Department, </w:t>
      </w:r>
      <w:r>
        <w:t>Canberra.</w:t>
      </w:r>
    </w:p>
    <w:p w14:paraId="38B54DD4" w14:textId="21B262E4" w:rsidR="004B24EF" w:rsidRPr="008330A9" w:rsidRDefault="00334C5F" w:rsidP="000E272E">
      <w:pPr>
        <w:pStyle w:val="ListBullet2"/>
      </w:pPr>
      <w:r w:rsidRPr="00246813">
        <w:t>Protective Security Policy Committee (approved</w:t>
      </w:r>
      <w:r w:rsidR="00202937">
        <w:t xml:space="preserve"> 1 November 2014; amended April </w:t>
      </w:r>
      <w:r w:rsidRPr="00246813">
        <w:t>20</w:t>
      </w:r>
      <w:r>
        <w:t>15),</w:t>
      </w:r>
      <w:r w:rsidRPr="00246813">
        <w:t xml:space="preserve"> </w:t>
      </w:r>
      <w:r w:rsidR="0009463E" w:rsidRPr="00334C5F">
        <w:rPr>
          <w:i/>
        </w:rPr>
        <w:t>Protective Security Governance Guidelines: Basic Impact Levels</w:t>
      </w:r>
      <w:r>
        <w:t xml:space="preserve">, </w:t>
      </w:r>
      <w:r w:rsidR="0009463E" w:rsidRPr="00246813">
        <w:t>Attorney-General’s Department,</w:t>
      </w:r>
      <w:r>
        <w:t xml:space="preserve"> Canberra</w:t>
      </w:r>
      <w:r w:rsidR="0066047C">
        <w:t>.</w:t>
      </w:r>
    </w:p>
    <w:sectPr w:rsidR="004B24EF" w:rsidRPr="008330A9" w:rsidSect="00C756B9">
      <w:headerReference w:type="default" r:id="rId18"/>
      <w:headerReference w:type="first" r:id="rId19"/>
      <w:footerReference w:type="first" r:id="rId20"/>
      <w:pgSz w:w="11906" w:h="16838" w:code="9"/>
      <w:pgMar w:top="1134" w:right="1134" w:bottom="1134" w:left="1134"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4A1137" w14:textId="77777777" w:rsidR="00983875" w:rsidRDefault="00983875" w:rsidP="00293A72">
      <w:r>
        <w:separator/>
      </w:r>
    </w:p>
  </w:endnote>
  <w:endnote w:type="continuationSeparator" w:id="0">
    <w:p w14:paraId="5386975D" w14:textId="77777777" w:rsidR="00983875" w:rsidRDefault="00983875"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Lato Black">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E22BD" w14:textId="77777777" w:rsidR="006777C6" w:rsidRPr="009A7587" w:rsidRDefault="00983875" w:rsidP="00434174">
    <w:pPr>
      <w:tabs>
        <w:tab w:val="right" w:pos="10206"/>
      </w:tabs>
      <w:spacing w:after="120"/>
      <w:ind w:left="-567" w:right="-568"/>
      <w:rPr>
        <w:sz w:val="16"/>
        <w:szCs w:val="16"/>
      </w:rPr>
    </w:pPr>
    <w:r>
      <w:pict w14:anchorId="382CE69F">
        <v:rect id="_x0000_i1025" style="width:481.9pt;height:.5pt" o:hralign="center" o:hrstd="t" o:hrnoshade="t" o:hr="t" fillcolor="black [3213]" stroked="f"/>
      </w:pict>
    </w:r>
  </w:p>
  <w:p w14:paraId="036781A2" w14:textId="77777777" w:rsidR="006777C6" w:rsidRPr="009568B9" w:rsidRDefault="006777C6" w:rsidP="0002202F">
    <w:pPr>
      <w:pStyle w:val="NTGFooterDepartmentandPagenumber"/>
      <w:tabs>
        <w:tab w:val="clear" w:pos="9026"/>
        <w:tab w:val="right" w:pos="10206"/>
      </w:tabs>
      <w:ind w:left="-567" w:right="-568"/>
    </w:pPr>
    <w:r w:rsidRPr="009568B9">
      <w:rPr>
        <w:rStyle w:val="NTGFooterDepartmentofChar"/>
      </w:rPr>
      <w:fldChar w:fldCharType="begin"/>
    </w:r>
    <w:r w:rsidRPr="009568B9">
      <w:rPr>
        <w:rStyle w:val="NTGFooterDepartmentofChar"/>
      </w:rPr>
      <w:instrText xml:space="preserve"> DOCPROPERTY  DepartmentOf  \* MERGEFORMAT </w:instrText>
    </w:r>
    <w:r w:rsidRPr="009568B9">
      <w:rPr>
        <w:rStyle w:val="NTGFooterDepartmentofChar"/>
      </w:rPr>
      <w:fldChar w:fldCharType="separate"/>
    </w:r>
    <w:r w:rsidR="002D357C">
      <w:rPr>
        <w:rStyle w:val="NTGFooterDepartmentofChar"/>
      </w:rPr>
      <w:t xml:space="preserve">Department of </w:t>
    </w:r>
    <w:r w:rsidRPr="009568B9">
      <w:rPr>
        <w:rStyle w:val="NTGFooterDepartmentofChar"/>
      </w:rPr>
      <w:fldChar w:fldCharType="end"/>
    </w:r>
    <w:r w:rsidRPr="009568B9">
      <w:rPr>
        <w:rStyle w:val="NTGFooterDepartmentNameChar"/>
      </w:rPr>
      <w:fldChar w:fldCharType="begin"/>
    </w:r>
    <w:r w:rsidRPr="009568B9">
      <w:rPr>
        <w:rStyle w:val="NTGFooterDepartmentNameChar"/>
      </w:rPr>
      <w:instrText xml:space="preserve"> DOCPROPERTY  DepartmentName  \* MERGEFORMAT </w:instrText>
    </w:r>
    <w:r w:rsidRPr="009568B9">
      <w:rPr>
        <w:rStyle w:val="NTGFooterDepartmentNameChar"/>
      </w:rPr>
      <w:fldChar w:fldCharType="separate"/>
    </w:r>
    <w:r w:rsidR="002D357C">
      <w:rPr>
        <w:rStyle w:val="NTGFooterDepartmentNameChar"/>
      </w:rPr>
      <w:t>Corporate and Information Services</w:t>
    </w:r>
    <w:r w:rsidRPr="009568B9">
      <w:rPr>
        <w:rStyle w:val="NTGFooterDepartmentNameChar"/>
      </w:rPr>
      <w:fldChar w:fldCharType="end"/>
    </w:r>
    <w:r w:rsidRPr="009568B9">
      <w:tab/>
      <w:t xml:space="preserve">Page </w:t>
    </w:r>
    <w:r w:rsidRPr="009568B9">
      <w:fldChar w:fldCharType="begin"/>
    </w:r>
    <w:r w:rsidRPr="009568B9">
      <w:instrText xml:space="preserve"> PAGE  \* Arabic  \* MERGEFORMAT </w:instrText>
    </w:r>
    <w:r w:rsidRPr="009568B9">
      <w:fldChar w:fldCharType="separate"/>
    </w:r>
    <w:r w:rsidR="002D357C">
      <w:rPr>
        <w:noProof/>
      </w:rPr>
      <w:t>4</w:t>
    </w:r>
    <w:r w:rsidRPr="009568B9">
      <w:fldChar w:fldCharType="end"/>
    </w:r>
    <w:r w:rsidRPr="009568B9">
      <w:t xml:space="preserve"> of </w:t>
    </w:r>
    <w:fldSimple w:instr=" NUMPAGES  \* Arabic  \* MERGEFORMAT ">
      <w:r w:rsidR="002D357C">
        <w:rPr>
          <w:noProof/>
        </w:rPr>
        <w:t>20</w:t>
      </w:r>
    </w:fldSimple>
  </w:p>
  <w:p w14:paraId="34E4D694" w14:textId="112A2D4D" w:rsidR="006777C6" w:rsidRPr="009568B9" w:rsidRDefault="0066738F" w:rsidP="00434174">
    <w:pPr>
      <w:pStyle w:val="NTGFooterDateVersion"/>
      <w:ind w:left="-567"/>
    </w:pPr>
    <w:fldSimple w:instr=" DOCPROPERTY  DocumentDate  \* MERGEFORMAT ">
      <w:r w:rsidR="002D357C">
        <w:t>23 October 2017</w:t>
      </w:r>
    </w:fldSimple>
    <w:r w:rsidR="006777C6" w:rsidRPr="009568B9">
      <w:t>, Version</w:t>
    </w:r>
    <w:r w:rsidR="006777C6" w:rsidRPr="006777C6">
      <w:rPr>
        <w:sz w:val="22"/>
        <w:szCs w:val="22"/>
      </w:rPr>
      <w:t> </w:t>
    </w:r>
    <w:r w:rsidR="006777C6" w:rsidRPr="006777C6">
      <w:rPr>
        <w:sz w:val="22"/>
        <w:szCs w:val="22"/>
      </w:rPr>
      <w:fldChar w:fldCharType="begin"/>
    </w:r>
    <w:r w:rsidR="006777C6" w:rsidRPr="006777C6">
      <w:rPr>
        <w:sz w:val="22"/>
        <w:szCs w:val="22"/>
      </w:rPr>
      <w:instrText xml:space="preserve"> DOCPROPERTY  VersionNo  \* MERGEFORMAT </w:instrText>
    </w:r>
    <w:r w:rsidR="006777C6" w:rsidRPr="006777C6">
      <w:rPr>
        <w:sz w:val="22"/>
        <w:szCs w:val="22"/>
      </w:rPr>
      <w:fldChar w:fldCharType="separate"/>
    </w:r>
    <w:r w:rsidR="002D357C">
      <w:rPr>
        <w:sz w:val="22"/>
        <w:szCs w:val="22"/>
      </w:rPr>
      <w:t>1.1</w:t>
    </w:r>
    <w:r w:rsidR="006777C6" w:rsidRPr="006777C6">
      <w:rPr>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73" w:type="dxa"/>
      <w:tblInd w:w="-567"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area"/>
    </w:tblPr>
    <w:tblGrid>
      <w:gridCol w:w="8505"/>
      <w:gridCol w:w="2268"/>
    </w:tblGrid>
    <w:tr w:rsidR="006777C6" w:rsidRPr="002C6633" w14:paraId="6D2EE0E0" w14:textId="77777777" w:rsidTr="00B61936">
      <w:trPr>
        <w:cantSplit/>
        <w:trHeight w:hRule="exact" w:val="1400"/>
        <w:tblHeader/>
      </w:trPr>
      <w:tc>
        <w:tcPr>
          <w:tcW w:w="8505" w:type="dxa"/>
          <w:vAlign w:val="center"/>
        </w:tcPr>
        <w:p w14:paraId="5F84667A" w14:textId="77777777" w:rsidR="006777C6" w:rsidRPr="002C6633" w:rsidRDefault="006777C6" w:rsidP="00B61936">
          <w:pPr>
            <w:pStyle w:val="Footer"/>
            <w:spacing w:before="280"/>
            <w:ind w:right="0"/>
          </w:pPr>
          <w:r>
            <w:rPr>
              <w:rStyle w:val="NTGFooterDepartmentofChar"/>
            </w:rPr>
            <w:fldChar w:fldCharType="begin"/>
          </w:r>
          <w:r>
            <w:rPr>
              <w:rStyle w:val="NTGFooterDepartmentofChar"/>
            </w:rPr>
            <w:instrText xml:space="preserve"> DOCPROPERTY  DepartmentOf  \* MERGEFORMAT </w:instrText>
          </w:r>
          <w:r>
            <w:rPr>
              <w:rStyle w:val="NTGFooterDepartmentofChar"/>
            </w:rPr>
            <w:fldChar w:fldCharType="separate"/>
          </w:r>
          <w:r w:rsidR="002D357C">
            <w:rPr>
              <w:rStyle w:val="NTGFooterDepartmentofChar"/>
            </w:rPr>
            <w:t xml:space="preserve">Department of </w:t>
          </w:r>
          <w:r>
            <w:rPr>
              <w:rStyle w:val="NTGFooterDepartmentofChar"/>
            </w:rPr>
            <w:fldChar w:fldCharType="end"/>
          </w:r>
          <w:r>
            <w:rPr>
              <w:rStyle w:val="NTGFooterDepartmentNameChar"/>
            </w:rPr>
            <w:fldChar w:fldCharType="begin"/>
          </w:r>
          <w:r>
            <w:rPr>
              <w:rStyle w:val="NTGFooterDepartmentNameChar"/>
            </w:rPr>
            <w:instrText xml:space="preserve"> DOCPROPERTY  DepartmentName  \* MERGEFORMAT </w:instrText>
          </w:r>
          <w:r>
            <w:rPr>
              <w:rStyle w:val="NTGFooterDepartmentNameChar"/>
            </w:rPr>
            <w:fldChar w:fldCharType="separate"/>
          </w:r>
          <w:r w:rsidR="002D357C">
            <w:rPr>
              <w:rStyle w:val="NTGFooterDepartmentNameChar"/>
            </w:rPr>
            <w:t>Corporate and Information Services</w:t>
          </w:r>
          <w:r>
            <w:rPr>
              <w:rStyle w:val="NTGFooterDepartmentNameChar"/>
            </w:rPr>
            <w:fldChar w:fldCharType="end"/>
          </w:r>
          <w:r w:rsidRPr="002C6633">
            <w:br/>
          </w:r>
        </w:p>
      </w:tc>
      <w:tc>
        <w:tcPr>
          <w:tcW w:w="2268" w:type="dxa"/>
          <w:vAlign w:val="center"/>
        </w:tcPr>
        <w:p w14:paraId="755C3374" w14:textId="77777777" w:rsidR="006777C6" w:rsidRPr="002C6633" w:rsidRDefault="006777C6" w:rsidP="00B61936">
          <w:pPr>
            <w:spacing w:after="0" w:line="252" w:lineRule="auto"/>
            <w:ind w:left="4"/>
            <w:jc w:val="right"/>
            <w:rPr>
              <w:rFonts w:cs="Arial"/>
              <w:sz w:val="20"/>
            </w:rPr>
          </w:pPr>
          <w:r w:rsidRPr="002C6633">
            <w:rPr>
              <w:rFonts w:cs="Arial"/>
              <w:noProof/>
              <w:sz w:val="20"/>
              <w:lang w:eastAsia="en-AU"/>
            </w:rPr>
            <w:drawing>
              <wp:inline distT="0" distB="0" distL="0" distR="0" wp14:anchorId="2D9835AF" wp14:editId="43503ED6">
                <wp:extent cx="1347470" cy="481330"/>
                <wp:effectExtent l="0" t="0" r="5080" b="0"/>
                <wp:docPr id="2" name="Picture 2"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7470" cy="481330"/>
                        </a:xfrm>
                        <a:prstGeom prst="rect">
                          <a:avLst/>
                        </a:prstGeom>
                        <a:noFill/>
                      </pic:spPr>
                    </pic:pic>
                  </a:graphicData>
                </a:graphic>
              </wp:inline>
            </w:drawing>
          </w:r>
        </w:p>
      </w:tc>
    </w:tr>
  </w:tbl>
  <w:p w14:paraId="3A75D568" w14:textId="77777777" w:rsidR="006777C6" w:rsidRPr="002C6633" w:rsidRDefault="006777C6" w:rsidP="00410CF8">
    <w:pPr>
      <w:pStyle w:val="Footerspacing"/>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6526C" w14:textId="77777777" w:rsidR="006777C6" w:rsidRPr="009A7587" w:rsidRDefault="00983875" w:rsidP="00A1061C">
    <w:pPr>
      <w:tabs>
        <w:tab w:val="right" w:pos="10206"/>
      </w:tabs>
      <w:spacing w:after="120"/>
      <w:ind w:left="-567" w:right="-568"/>
      <w:rPr>
        <w:sz w:val="16"/>
        <w:szCs w:val="16"/>
      </w:rPr>
    </w:pPr>
    <w:r>
      <w:pict w14:anchorId="78875D6C">
        <v:rect id="_x0000_i1026" style="width:481.9pt;height:.5pt" o:hralign="center" o:hrstd="t" o:hrnoshade="t" o:hr="t" fillcolor="black [3213]" stroked="f"/>
      </w:pict>
    </w:r>
  </w:p>
  <w:p w14:paraId="4884BFD1" w14:textId="77777777" w:rsidR="006777C6" w:rsidRPr="009568B9" w:rsidRDefault="006777C6" w:rsidP="00A1061C">
    <w:pPr>
      <w:pStyle w:val="NTGFooterDepartmentandPagenumber"/>
      <w:tabs>
        <w:tab w:val="clear" w:pos="9026"/>
        <w:tab w:val="right" w:pos="10206"/>
      </w:tabs>
      <w:ind w:left="-567"/>
    </w:pPr>
    <w:r w:rsidRPr="009568B9">
      <w:rPr>
        <w:rStyle w:val="NTGFooterDepartmentofChar"/>
      </w:rPr>
      <w:fldChar w:fldCharType="begin"/>
    </w:r>
    <w:r w:rsidRPr="009568B9">
      <w:rPr>
        <w:rStyle w:val="NTGFooterDepartmentofChar"/>
      </w:rPr>
      <w:instrText xml:space="preserve"> DOCPROPERTY  DepartmentOf  \* MERGEFORMAT </w:instrText>
    </w:r>
    <w:r w:rsidRPr="009568B9">
      <w:rPr>
        <w:rStyle w:val="NTGFooterDepartmentofChar"/>
      </w:rPr>
      <w:fldChar w:fldCharType="separate"/>
    </w:r>
    <w:r w:rsidR="002D357C">
      <w:rPr>
        <w:rStyle w:val="NTGFooterDepartmentofChar"/>
      </w:rPr>
      <w:t xml:space="preserve">Department of </w:t>
    </w:r>
    <w:r w:rsidRPr="009568B9">
      <w:rPr>
        <w:rStyle w:val="NTGFooterDepartmentofChar"/>
      </w:rPr>
      <w:fldChar w:fldCharType="end"/>
    </w:r>
    <w:r w:rsidRPr="009568B9">
      <w:rPr>
        <w:rStyle w:val="NTGFooterDepartmentNameChar"/>
      </w:rPr>
      <w:fldChar w:fldCharType="begin"/>
    </w:r>
    <w:r w:rsidRPr="009568B9">
      <w:rPr>
        <w:rStyle w:val="NTGFooterDepartmentNameChar"/>
      </w:rPr>
      <w:instrText xml:space="preserve"> DOCPROPERTY  DepartmentName  \* MERGEFORMAT </w:instrText>
    </w:r>
    <w:r w:rsidRPr="009568B9">
      <w:rPr>
        <w:rStyle w:val="NTGFooterDepartmentNameChar"/>
      </w:rPr>
      <w:fldChar w:fldCharType="separate"/>
    </w:r>
    <w:r w:rsidR="002D357C">
      <w:rPr>
        <w:rStyle w:val="NTGFooterDepartmentNameChar"/>
      </w:rPr>
      <w:t>Corporate and Information Services</w:t>
    </w:r>
    <w:r w:rsidRPr="009568B9">
      <w:rPr>
        <w:rStyle w:val="NTGFooterDepartmentNameChar"/>
      </w:rPr>
      <w:fldChar w:fldCharType="end"/>
    </w:r>
    <w:r w:rsidRPr="009568B9">
      <w:tab/>
      <w:t xml:space="preserve">Page </w:t>
    </w:r>
    <w:r w:rsidRPr="009568B9">
      <w:fldChar w:fldCharType="begin"/>
    </w:r>
    <w:r w:rsidRPr="009568B9">
      <w:instrText xml:space="preserve"> PAGE  \* Arabic  \* MERGEFORMAT </w:instrText>
    </w:r>
    <w:r w:rsidRPr="009568B9">
      <w:fldChar w:fldCharType="separate"/>
    </w:r>
    <w:r>
      <w:rPr>
        <w:noProof/>
      </w:rPr>
      <w:t>3</w:t>
    </w:r>
    <w:r w:rsidRPr="009568B9">
      <w:fldChar w:fldCharType="end"/>
    </w:r>
    <w:r w:rsidRPr="009568B9">
      <w:t xml:space="preserve"> of </w:t>
    </w:r>
    <w:fldSimple w:instr=" NUMPAGES  \* Arabic  \* MERGEFORMAT ">
      <w:r w:rsidR="002D357C">
        <w:rPr>
          <w:noProof/>
        </w:rPr>
        <w:t>18</w:t>
      </w:r>
    </w:fldSimple>
  </w:p>
  <w:p w14:paraId="27BF92D0" w14:textId="77777777" w:rsidR="006777C6" w:rsidRPr="009568B9" w:rsidRDefault="0066738F" w:rsidP="00A1061C">
    <w:pPr>
      <w:pStyle w:val="NTGFooterDateVersion"/>
      <w:ind w:left="-567"/>
    </w:pPr>
    <w:fldSimple w:instr=" DOCPROPERTY  DocumentDate  \* MERGEFORMAT ">
      <w:r w:rsidR="002D357C">
        <w:t>23 October 2017</w:t>
      </w:r>
    </w:fldSimple>
    <w:r w:rsidR="006777C6" w:rsidRPr="009568B9">
      <w:t>, Version </w:t>
    </w:r>
    <w:fldSimple w:instr=" DOCPROPERTY  VersionNo  \* MERGEFORMAT ">
      <w:r w:rsidR="002D357C">
        <w:t>1.1</w:t>
      </w:r>
    </w:fldSimple>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C8E1C" w14:textId="77777777" w:rsidR="006777C6" w:rsidRPr="00F6368A" w:rsidRDefault="006777C6" w:rsidP="00A24C50">
    <w:pPr>
      <w:pStyle w:val="Footer"/>
    </w:pPr>
  </w:p>
  <w:p w14:paraId="0F54C767" w14:textId="77777777" w:rsidR="006777C6" w:rsidRPr="00F6368A" w:rsidRDefault="006777C6" w:rsidP="009616DF">
    <w:pPr>
      <w:tabs>
        <w:tab w:val="right" w:pos="9639"/>
        <w:tab w:val="right" w:pos="14459"/>
      </w:tabs>
      <w:ind w:left="-709" w:right="-341"/>
      <w:rPr>
        <w:rFonts w:cs="Arial"/>
      </w:rPr>
    </w:pPr>
    <w:r w:rsidRPr="00F6368A">
      <w:rPr>
        <w:rFonts w:cs="Arial"/>
      </w:rPr>
      <w:t xml:space="preserve">DEPARTMENT OF </w:t>
    </w:r>
    <w:r>
      <w:rPr>
        <w:rFonts w:cs="Arial"/>
        <w:b/>
      </w:rPr>
      <w:t>BUSINESS AND EMPLOYMENT</w:t>
    </w:r>
    <w:r>
      <w:rPr>
        <w:rFonts w:cs="Arial"/>
        <w:b/>
      </w:rPr>
      <w:tab/>
    </w:r>
    <w:r w:rsidRPr="00F6368A">
      <w:rPr>
        <w:rStyle w:val="PageNumber"/>
        <w:rFonts w:cs="Arial"/>
      </w:rPr>
      <w:fldChar w:fldCharType="begin"/>
    </w:r>
    <w:r w:rsidRPr="00F6368A">
      <w:rPr>
        <w:rStyle w:val="PageNumber"/>
        <w:rFonts w:cs="Arial"/>
      </w:rPr>
      <w:instrText xml:space="preserve"> PAGE </w:instrText>
    </w:r>
    <w:r w:rsidRPr="00F6368A">
      <w:rPr>
        <w:rStyle w:val="PageNumber"/>
        <w:rFonts w:cs="Arial"/>
      </w:rPr>
      <w:fldChar w:fldCharType="separate"/>
    </w:r>
    <w:r>
      <w:rPr>
        <w:rStyle w:val="PageNumber"/>
        <w:rFonts w:cs="Arial"/>
        <w:noProof/>
      </w:rPr>
      <w:t>18</w:t>
    </w:r>
    <w:r w:rsidRPr="00F6368A">
      <w:rPr>
        <w:rStyle w:val="PageNumber"/>
        <w:rFonts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FEB01D" w14:textId="77777777" w:rsidR="00983875" w:rsidRDefault="00983875" w:rsidP="00293A72">
      <w:r>
        <w:separator/>
      </w:r>
    </w:p>
  </w:footnote>
  <w:footnote w:type="continuationSeparator" w:id="0">
    <w:p w14:paraId="5EBD44EB" w14:textId="77777777" w:rsidR="00983875" w:rsidRDefault="00983875" w:rsidP="00293A72">
      <w:r>
        <w:continuationSeparator/>
      </w:r>
    </w:p>
  </w:footnote>
  <w:footnote w:type="continuationNotice" w:id="1">
    <w:p w14:paraId="7B29B465" w14:textId="77777777" w:rsidR="00983875" w:rsidRPr="00FB5692" w:rsidRDefault="00983875" w:rsidP="00FB5692">
      <w:pPr>
        <w:pStyle w:val="Footer"/>
      </w:pPr>
    </w:p>
  </w:footnote>
  <w:footnote w:id="2">
    <w:p w14:paraId="3E357759" w14:textId="67B0DB5F" w:rsidR="006777C6" w:rsidRDefault="006777C6" w:rsidP="00E35590">
      <w:pPr>
        <w:pStyle w:val="FootnoteText"/>
      </w:pPr>
      <w:r>
        <w:rPr>
          <w:rStyle w:val="FootnoteReference"/>
        </w:rPr>
        <w:footnoteRef/>
      </w:r>
      <w:r>
        <w:t xml:space="preserve"> </w:t>
      </w:r>
      <w:r w:rsidRPr="003C1A84">
        <w:rPr>
          <w:i/>
        </w:rPr>
        <w:t>Information Act</w:t>
      </w:r>
      <w:r>
        <w:t xml:space="preserve"> s</w:t>
      </w:r>
      <w:r w:rsidR="0002202F">
        <w:t> </w:t>
      </w:r>
      <w:r>
        <w:t>131</w:t>
      </w:r>
    </w:p>
  </w:footnote>
  <w:footnote w:id="3">
    <w:p w14:paraId="243074EA" w14:textId="2C63F10C" w:rsidR="006777C6" w:rsidRDefault="006777C6">
      <w:pPr>
        <w:pStyle w:val="FootnoteText"/>
      </w:pPr>
      <w:r>
        <w:rPr>
          <w:rStyle w:val="FootnoteReference"/>
        </w:rPr>
        <w:footnoteRef/>
      </w:r>
      <w:r>
        <w:t xml:space="preserve"> </w:t>
      </w:r>
      <w:proofErr w:type="gramStart"/>
      <w:r w:rsidR="00B46882">
        <w:t>s</w:t>
      </w:r>
      <w:proofErr w:type="gramEnd"/>
      <w:r w:rsidR="00B46882">
        <w:t> </w:t>
      </w:r>
      <w:r>
        <w:t xml:space="preserve">131(2) of the </w:t>
      </w:r>
      <w:r w:rsidRPr="00CB19D2">
        <w:rPr>
          <w:i/>
        </w:rPr>
        <w:t>Information Act</w:t>
      </w:r>
      <w:r>
        <w:rPr>
          <w:i/>
        </w:rPr>
        <w:t xml:space="preserve"> (</w:t>
      </w:r>
      <w:r w:rsidRPr="00B57511">
        <w:t xml:space="preserve">the </w:t>
      </w:r>
      <w:r>
        <w:rPr>
          <w:i/>
        </w:rPr>
        <w:t>Act)</w:t>
      </w:r>
      <w:r>
        <w:t>.</w:t>
      </w:r>
    </w:p>
  </w:footnote>
  <w:footnote w:id="4">
    <w:p w14:paraId="7201F7D7" w14:textId="1507E0C7" w:rsidR="006777C6" w:rsidRDefault="006777C6">
      <w:pPr>
        <w:pStyle w:val="FootnoteText"/>
      </w:pPr>
      <w:r>
        <w:rPr>
          <w:rStyle w:val="FootnoteReference"/>
        </w:rPr>
        <w:footnoteRef/>
      </w:r>
      <w:r>
        <w:t xml:space="preserve"> </w:t>
      </w:r>
      <w:r w:rsidR="00B46882">
        <w:t>s </w:t>
      </w:r>
      <w:r>
        <w:t xml:space="preserve">134 of the </w:t>
      </w:r>
      <w:r w:rsidRPr="00B46882">
        <w:t>Act</w:t>
      </w:r>
    </w:p>
  </w:footnote>
  <w:footnote w:id="5">
    <w:p w14:paraId="508DF435" w14:textId="05BD40AB" w:rsidR="006777C6" w:rsidRDefault="006777C6" w:rsidP="005C07F4">
      <w:pPr>
        <w:pStyle w:val="FootnoteText"/>
      </w:pPr>
      <w:r>
        <w:rPr>
          <w:rStyle w:val="FootnoteReference"/>
        </w:rPr>
        <w:footnoteRef/>
      </w:r>
      <w:r>
        <w:t xml:space="preserve"> Office of the Commissioner for Public Employment</w:t>
      </w:r>
      <w:r w:rsidR="00B46882">
        <w:t> </w:t>
      </w:r>
      <w:r>
        <w:t xml:space="preserve">2011, </w:t>
      </w:r>
      <w:r w:rsidRPr="004766CC">
        <w:rPr>
          <w:i/>
        </w:rPr>
        <w:t>Code of Conduct – Employment Instruction</w:t>
      </w:r>
      <w:r w:rsidR="00B46882">
        <w:rPr>
          <w:i/>
        </w:rPr>
        <w:t> </w:t>
      </w:r>
      <w:r w:rsidRPr="004766CC">
        <w:rPr>
          <w:i/>
        </w:rPr>
        <w:t>12</w:t>
      </w:r>
      <w:r>
        <w:rPr>
          <w:i/>
        </w:rPr>
        <w:t>.</w:t>
      </w:r>
      <w:r w:rsidR="00B46882">
        <w:t xml:space="preserve"> See section </w:t>
      </w:r>
      <w:r>
        <w:t>14</w:t>
      </w:r>
    </w:p>
  </w:footnote>
  <w:footnote w:id="6">
    <w:p w14:paraId="10C0896A" w14:textId="55974E52" w:rsidR="006777C6" w:rsidRDefault="006777C6">
      <w:pPr>
        <w:pStyle w:val="FootnoteText"/>
      </w:pPr>
      <w:r>
        <w:rPr>
          <w:rStyle w:val="FootnoteReference"/>
        </w:rPr>
        <w:footnoteRef/>
      </w:r>
      <w:r>
        <w:t xml:space="preserve"> Standards Australia</w:t>
      </w:r>
      <w:r w:rsidR="0002202F">
        <w:t> </w:t>
      </w:r>
      <w:r>
        <w:t xml:space="preserve">2006, </w:t>
      </w:r>
      <w:r w:rsidRPr="00B57511">
        <w:rPr>
          <w:i/>
        </w:rPr>
        <w:t>Information and documentation – Records management processes – Metadata for records – Part</w:t>
      </w:r>
      <w:r w:rsidR="0002202F">
        <w:rPr>
          <w:i/>
        </w:rPr>
        <w:t> </w:t>
      </w:r>
      <w:r w:rsidRPr="00B57511">
        <w:rPr>
          <w:i/>
        </w:rPr>
        <w:t>1: Principles</w:t>
      </w:r>
      <w:r>
        <w:t>, AS</w:t>
      </w:r>
      <w:r w:rsidR="0002202F">
        <w:t> </w:t>
      </w:r>
      <w:r>
        <w:t>ISO</w:t>
      </w:r>
      <w:r w:rsidR="0002202F">
        <w:t> </w:t>
      </w:r>
      <w:r>
        <w:t>23081.1:2006</w:t>
      </w:r>
    </w:p>
  </w:footnote>
  <w:footnote w:id="7">
    <w:p w14:paraId="70DE6DE4" w14:textId="28A47582" w:rsidR="006777C6" w:rsidRDefault="006777C6" w:rsidP="00F929D2">
      <w:pPr>
        <w:pStyle w:val="FootnoteText"/>
      </w:pPr>
      <w:r>
        <w:rPr>
          <w:rStyle w:val="FootnoteReference"/>
        </w:rPr>
        <w:footnoteRef/>
      </w:r>
      <w:r>
        <w:t xml:space="preserve"> </w:t>
      </w:r>
      <w:r w:rsidRPr="009F4341">
        <w:rPr>
          <w:sz w:val="18"/>
        </w:rPr>
        <w:t>Specifications for recordkeeping functionality in business</w:t>
      </w:r>
      <w:r w:rsidR="00B46882">
        <w:rPr>
          <w:sz w:val="18"/>
        </w:rPr>
        <w:t xml:space="preserve"> systems should be based on</w:t>
      </w:r>
      <w:r w:rsidRPr="009F4341">
        <w:rPr>
          <w:sz w:val="18"/>
        </w:rPr>
        <w:t xml:space="preserve">: </w:t>
      </w:r>
      <w:r>
        <w:t>International Standards Organisation</w:t>
      </w:r>
      <w:r w:rsidR="00B46882">
        <w:t> </w:t>
      </w:r>
      <w:r>
        <w:t xml:space="preserve">2010, </w:t>
      </w:r>
      <w:r w:rsidRPr="00324E24">
        <w:rPr>
          <w:i/>
        </w:rPr>
        <w:t>Principles and functional requirements for records in electronic office environments</w:t>
      </w:r>
      <w:r w:rsidR="00B46882">
        <w:rPr>
          <w:i/>
        </w:rPr>
        <w:t>: Module 3</w:t>
      </w:r>
      <w:r>
        <w:rPr>
          <w:i/>
        </w:rPr>
        <w:t xml:space="preserve">: Guidelines and function requirements for records in business systems, </w:t>
      </w:r>
      <w:r w:rsidR="00B46882">
        <w:t>ISO </w:t>
      </w:r>
      <w:r>
        <w:t>16175-3:2010(E)</w:t>
      </w:r>
      <w:r>
        <w:rPr>
          <w:i/>
        </w:rPr>
        <w:t>.</w:t>
      </w:r>
    </w:p>
  </w:footnote>
  <w:footnote w:id="8">
    <w:p w14:paraId="01B24AFF" w14:textId="4F8A776F" w:rsidR="006777C6" w:rsidRDefault="006777C6">
      <w:pPr>
        <w:pStyle w:val="FootnoteText"/>
      </w:pPr>
      <w:r>
        <w:rPr>
          <w:rStyle w:val="FootnoteReference"/>
        </w:rPr>
        <w:footnoteRef/>
      </w:r>
      <w:r>
        <w:t xml:space="preserve"> Standards Australi</w:t>
      </w:r>
      <w:r w:rsidR="00B46882">
        <w:t>a Limited/Standards New Zealand </w:t>
      </w:r>
      <w:r>
        <w:t xml:space="preserve">2015, </w:t>
      </w:r>
      <w:r>
        <w:rPr>
          <w:i/>
        </w:rPr>
        <w:t xml:space="preserve">Recordkeeping metadata property reference set (RMPRS), </w:t>
      </w:r>
      <w:r w:rsidR="00B46882">
        <w:t>AS/NZS </w:t>
      </w:r>
      <w:r>
        <w:t>5478:2015</w:t>
      </w:r>
    </w:p>
  </w:footnote>
  <w:footnote w:id="9">
    <w:p w14:paraId="22FFE09E" w14:textId="77777777" w:rsidR="006777C6" w:rsidRPr="009617B2" w:rsidRDefault="006777C6" w:rsidP="005C6991">
      <w:pPr>
        <w:pStyle w:val="FootnoteText"/>
        <w:ind w:left="142" w:hanging="142"/>
      </w:pPr>
      <w:r w:rsidRPr="005F3AAF">
        <w:rPr>
          <w:rStyle w:val="FootnoteReference"/>
        </w:rPr>
        <w:footnoteRef/>
      </w:r>
      <w:r w:rsidRPr="005F3AAF">
        <w:rPr>
          <w:sz w:val="18"/>
        </w:rPr>
        <w:t>Standards Australia 2006, Long-term preservation of electronic document-based information. AS ISO 18492-2006: See section 6.4 Migrating electronic document-based information, and section 6.4.4 Migration to standard formats, p.1</w:t>
      </w:r>
      <w:r w:rsidRPr="009617B2">
        <w:t>2</w:t>
      </w:r>
    </w:p>
  </w:footnote>
  <w:footnote w:id="10">
    <w:p w14:paraId="4293416B" w14:textId="5059CDBC" w:rsidR="006777C6" w:rsidRDefault="006777C6">
      <w:pPr>
        <w:pStyle w:val="FootnoteText"/>
      </w:pPr>
      <w:r>
        <w:rPr>
          <w:rStyle w:val="FootnoteReference"/>
        </w:rPr>
        <w:footnoteRef/>
      </w:r>
      <w:r>
        <w:t xml:space="preserve"> Attorney-General’s Department, </w:t>
      </w:r>
      <w:r w:rsidRPr="00B57511">
        <w:rPr>
          <w:i/>
        </w:rPr>
        <w:t>Protective Security Policy Framework Home Page</w:t>
      </w:r>
      <w:r>
        <w:t xml:space="preserve">, Australian Government. Available from: </w:t>
      </w:r>
      <w:r w:rsidRPr="0041210E">
        <w:t>https://www.protectivesecurity.gov.au/Pages/default.aspx</w:t>
      </w:r>
    </w:p>
  </w:footnote>
  <w:footnote w:id="11">
    <w:p w14:paraId="02A6FF01" w14:textId="59064D9B" w:rsidR="006777C6" w:rsidRDefault="006777C6">
      <w:pPr>
        <w:pStyle w:val="FootnoteText"/>
      </w:pPr>
      <w:r>
        <w:rPr>
          <w:rStyle w:val="FootnoteReference"/>
        </w:rPr>
        <w:footnoteRef/>
      </w:r>
      <w:r>
        <w:t xml:space="preserve"> </w:t>
      </w:r>
      <w:r w:rsidRPr="00246813">
        <w:t>Protective Security Policy Committee (approved November</w:t>
      </w:r>
      <w:r w:rsidR="0041210E">
        <w:t> </w:t>
      </w:r>
      <w:r w:rsidR="00B533D4">
        <w:t>2014,</w:t>
      </w:r>
      <w:r w:rsidRPr="00246813">
        <w:t xml:space="preserve"> am</w:t>
      </w:r>
      <w:r>
        <w:t>ended</w:t>
      </w:r>
      <w:r w:rsidR="00E47247">
        <w:t xml:space="preserve"> </w:t>
      </w:r>
      <w:r>
        <w:t>April</w:t>
      </w:r>
      <w:r w:rsidR="00E47247">
        <w:t> </w:t>
      </w:r>
      <w:r>
        <w:t xml:space="preserve">2015), </w:t>
      </w:r>
      <w:r w:rsidRPr="00334C5F">
        <w:rPr>
          <w:i/>
        </w:rPr>
        <w:t>Information Security Management Guidelines: Australian Government Security Classification System</w:t>
      </w:r>
      <w:r>
        <w:t xml:space="preserve">, </w:t>
      </w:r>
      <w:r w:rsidRPr="00246813">
        <w:t>Attorney-General’s Department,</w:t>
      </w:r>
      <w:r>
        <w:t xml:space="preserve"> Canberra.</w:t>
      </w:r>
    </w:p>
  </w:footnote>
  <w:footnote w:id="12">
    <w:p w14:paraId="7B6603E1" w14:textId="0C9A6023" w:rsidR="006777C6" w:rsidRDefault="006777C6">
      <w:pPr>
        <w:pStyle w:val="FootnoteText"/>
      </w:pPr>
      <w:r>
        <w:rPr>
          <w:rStyle w:val="FootnoteReference"/>
        </w:rPr>
        <w:footnoteRef/>
      </w:r>
      <w:r>
        <w:t xml:space="preserve"> NT Archives Service, </w:t>
      </w:r>
      <w:r w:rsidRPr="00B57511">
        <w:rPr>
          <w:i/>
        </w:rPr>
        <w:t>Appraisal characteristic statement for the identification of permanent public sector organisations records</w:t>
      </w:r>
      <w:r>
        <w:t>.</w:t>
      </w:r>
    </w:p>
  </w:footnote>
  <w:footnote w:id="13">
    <w:p w14:paraId="4D58E391" w14:textId="5CC13674" w:rsidR="006777C6" w:rsidRPr="009617B2" w:rsidRDefault="006777C6" w:rsidP="00010FD9">
      <w:pPr>
        <w:pStyle w:val="FootnoteText"/>
      </w:pPr>
      <w:r w:rsidRPr="009617B2">
        <w:rPr>
          <w:rStyle w:val="FootnoteReference"/>
        </w:rPr>
        <w:footnoteRef/>
      </w:r>
      <w:r w:rsidRPr="009617B2">
        <w:t xml:space="preserve"> </w:t>
      </w:r>
      <w:r>
        <w:rPr>
          <w:i/>
        </w:rPr>
        <w:t>Information Act</w:t>
      </w:r>
      <w:r w:rsidRPr="009617B2">
        <w:rPr>
          <w:i/>
        </w:rPr>
        <w:t xml:space="preserve"> </w:t>
      </w:r>
      <w:r w:rsidRPr="0041210E">
        <w:t>s</w:t>
      </w:r>
      <w:r w:rsidR="0041210E" w:rsidRPr="0041210E">
        <w:t> </w:t>
      </w:r>
      <w:r w:rsidRPr="0041210E">
        <w:t>145</w:t>
      </w:r>
      <w:r w:rsidRPr="009617B2">
        <w:t>(2)(b)</w:t>
      </w:r>
    </w:p>
  </w:footnote>
  <w:footnote w:id="14">
    <w:p w14:paraId="661F072B" w14:textId="77777777" w:rsidR="006777C6" w:rsidRPr="009617B2" w:rsidRDefault="006777C6" w:rsidP="004B24EF">
      <w:pPr>
        <w:pStyle w:val="FootnoteText"/>
      </w:pPr>
      <w:r w:rsidRPr="005206C2">
        <w:rPr>
          <w:rStyle w:val="FootnoteReference"/>
          <w:sz w:val="16"/>
        </w:rPr>
        <w:footnoteRef/>
      </w:r>
      <w:r>
        <w:rPr>
          <w:rFonts w:cs="Arial"/>
          <w:i/>
          <w:sz w:val="16"/>
          <w:szCs w:val="16"/>
        </w:rPr>
        <w:t xml:space="preserve"> </w:t>
      </w:r>
      <w:r w:rsidRPr="009617B2">
        <w:rPr>
          <w:rFonts w:cs="Arial"/>
        </w:rPr>
        <w:t>N</w:t>
      </w:r>
      <w:r>
        <w:rPr>
          <w:rFonts w:cs="Arial"/>
        </w:rPr>
        <w:t>T Archives Service</w:t>
      </w:r>
      <w:r w:rsidRPr="009617B2">
        <w:rPr>
          <w:rFonts w:cs="Arial"/>
        </w:rPr>
        <w:t xml:space="preserve"> </w:t>
      </w:r>
      <w:r>
        <w:rPr>
          <w:rFonts w:cs="Arial"/>
        </w:rPr>
        <w:t xml:space="preserve">2003, </w:t>
      </w:r>
      <w:r w:rsidRPr="009617B2">
        <w:rPr>
          <w:rFonts w:cs="Arial"/>
          <w:i/>
        </w:rPr>
        <w:t>Disposal Schedule for Records of Short Term Value, No.2003/10</w:t>
      </w:r>
    </w:p>
  </w:footnote>
  <w:footnote w:id="15">
    <w:p w14:paraId="4F62E020" w14:textId="252A6EAB" w:rsidR="006777C6" w:rsidRPr="009617B2" w:rsidRDefault="006777C6" w:rsidP="0099105E">
      <w:pPr>
        <w:pStyle w:val="FootnoteText"/>
        <w:ind w:left="85" w:hanging="85"/>
        <w:rPr>
          <w:i/>
        </w:rPr>
      </w:pPr>
      <w:r w:rsidRPr="009617B2">
        <w:rPr>
          <w:rStyle w:val="FootnoteReference"/>
          <w:i/>
        </w:rPr>
        <w:footnoteRef/>
      </w:r>
      <w:r w:rsidRPr="009617B2">
        <w:rPr>
          <w:i/>
        </w:rPr>
        <w:t xml:space="preserve"> </w:t>
      </w:r>
      <w:r>
        <w:rPr>
          <w:i/>
        </w:rPr>
        <w:t>Information Act</w:t>
      </w:r>
      <w:r w:rsidRPr="009617B2">
        <w:rPr>
          <w:i/>
        </w:rPr>
        <w:t xml:space="preserve"> </w:t>
      </w:r>
      <w:r w:rsidRPr="009617B2">
        <w:t>s</w:t>
      </w:r>
      <w:r w:rsidR="00202937">
        <w:t> </w:t>
      </w:r>
      <w:r w:rsidRPr="009617B2">
        <w:t>145</w:t>
      </w:r>
    </w:p>
  </w:footnote>
  <w:footnote w:id="16">
    <w:p w14:paraId="1F3D0DDC" w14:textId="77777777" w:rsidR="006777C6" w:rsidRDefault="006777C6" w:rsidP="00643EE4">
      <w:pPr>
        <w:pStyle w:val="FootnoteText"/>
      </w:pPr>
      <w:r>
        <w:rPr>
          <w:rStyle w:val="FootnoteReference"/>
        </w:rPr>
        <w:footnoteRef/>
      </w:r>
      <w:r>
        <w:t xml:space="preserve"> NTG PSOs should refer to the Media Destruction Standard when disposing of records storage media.</w:t>
      </w:r>
    </w:p>
  </w:footnote>
  <w:footnote w:id="17">
    <w:p w14:paraId="0449696C" w14:textId="3DC28EEA" w:rsidR="006777C6" w:rsidRDefault="006777C6" w:rsidP="0099105E">
      <w:pPr>
        <w:pStyle w:val="FootnoteText"/>
      </w:pPr>
      <w:r>
        <w:rPr>
          <w:rStyle w:val="FootnoteReference"/>
        </w:rPr>
        <w:footnoteRef/>
      </w:r>
      <w:r>
        <w:t xml:space="preserve"> NT Archives Service; NT Records Service</w:t>
      </w:r>
      <w:r w:rsidR="00202937">
        <w:t> </w:t>
      </w:r>
      <w:r>
        <w:t xml:space="preserve">2011 (Aug), </w:t>
      </w:r>
      <w:r w:rsidRPr="001D0D8D">
        <w:rPr>
          <w:i/>
        </w:rPr>
        <w:t>Records Disposal Freeze Policy for NT Public Sector Organisations</w:t>
      </w:r>
    </w:p>
  </w:footnote>
  <w:footnote w:id="18">
    <w:p w14:paraId="0F5E0611" w14:textId="2C6CE50C" w:rsidR="006777C6" w:rsidRPr="00B82113" w:rsidRDefault="006777C6">
      <w:pPr>
        <w:pStyle w:val="FootnoteText"/>
      </w:pPr>
      <w:r>
        <w:rPr>
          <w:rStyle w:val="FootnoteReference"/>
        </w:rPr>
        <w:footnoteRef/>
      </w:r>
      <w:r>
        <w:t xml:space="preserve"> NT Archives Service</w:t>
      </w:r>
      <w:r w:rsidR="00202937">
        <w:t> </w:t>
      </w:r>
      <w:r>
        <w:t xml:space="preserve">2007 (Aug), </w:t>
      </w:r>
      <w:r>
        <w:rPr>
          <w:i/>
        </w:rPr>
        <w:t>Transfer of a</w:t>
      </w:r>
      <w:r w:rsidRPr="00B82F03">
        <w:rPr>
          <w:i/>
        </w:rPr>
        <w:t>rchives</w:t>
      </w:r>
      <w:r>
        <w:rPr>
          <w:i/>
        </w:rPr>
        <w:t xml:space="preserve"> (</w:t>
      </w:r>
      <w:r w:rsidRPr="00B82113">
        <w:t>Archives Management Standard</w:t>
      </w:r>
      <w:r>
        <w:t>)</w:t>
      </w:r>
      <w:r w:rsidRPr="00B82113">
        <w:t>.</w:t>
      </w:r>
    </w:p>
  </w:footnote>
  <w:footnote w:id="19">
    <w:p w14:paraId="3EF4CDB0" w14:textId="6C44AB12" w:rsidR="006777C6" w:rsidRDefault="006777C6">
      <w:pPr>
        <w:pStyle w:val="FootnoteText"/>
      </w:pPr>
      <w:r>
        <w:rPr>
          <w:rStyle w:val="FootnoteReference"/>
        </w:rPr>
        <w:footnoteRef/>
      </w:r>
      <w:r>
        <w:t xml:space="preserve"> Definition based on </w:t>
      </w:r>
      <w:r w:rsidRPr="00B57511">
        <w:rPr>
          <w:i/>
        </w:rPr>
        <w:t>Information Act</w:t>
      </w:r>
      <w:r>
        <w:t xml:space="preserve"> definition.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6DD5A4" w14:textId="77777777" w:rsidR="006777C6" w:rsidRDefault="006777C6" w:rsidP="007D55DF">
    <w:pPr>
      <w:pStyle w:val="Header"/>
      <w:tabs>
        <w:tab w:val="clear" w:pos="9026"/>
        <w:tab w:val="right" w:pos="10206"/>
      </w:tabs>
    </w:pPr>
    <w:r>
      <w:t>Document control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All of Government Policy Framework"/>
    </w:tblPr>
    <w:tblGrid>
      <w:gridCol w:w="4840"/>
      <w:gridCol w:w="4798"/>
    </w:tblGrid>
    <w:tr w:rsidR="006777C6" w14:paraId="3E7260C8" w14:textId="77777777" w:rsidTr="006777C6">
      <w:trPr>
        <w:cantSplit/>
        <w:trHeight w:val="851"/>
        <w:tblHeader/>
      </w:trPr>
      <w:tc>
        <w:tcPr>
          <w:tcW w:w="4883" w:type="dxa"/>
        </w:tcPr>
        <w:p w14:paraId="4D667EEB" w14:textId="77777777" w:rsidR="006777C6" w:rsidRDefault="006777C6" w:rsidP="006777C6">
          <w:pPr>
            <w:pStyle w:val="Appendix"/>
            <w:spacing w:before="0" w:after="0"/>
          </w:pPr>
          <w:r>
            <w:t>Public Sector Organisations</w:t>
          </w:r>
        </w:p>
      </w:tc>
      <w:tc>
        <w:tcPr>
          <w:tcW w:w="4858" w:type="dxa"/>
          <w:shd w:val="clear" w:color="auto" w:fill="808080" w:themeFill="background1" w:themeFillShade="80"/>
          <w:vAlign w:val="center"/>
        </w:tcPr>
        <w:p w14:paraId="701FEE36" w14:textId="77777777" w:rsidR="006777C6" w:rsidRPr="00AB698F" w:rsidRDefault="006777C6" w:rsidP="006777C6">
          <w:pPr>
            <w:pStyle w:val="Appendix"/>
            <w:spacing w:before="0" w:after="0"/>
            <w:jc w:val="center"/>
            <w:rPr>
              <w:color w:val="FFFFFF" w:themeColor="background1"/>
            </w:rPr>
          </w:pPr>
          <w:r w:rsidRPr="00AB698F">
            <w:rPr>
              <w:color w:val="FFFFFF" w:themeColor="background1"/>
            </w:rPr>
            <w:t>Standard</w:t>
          </w:r>
        </w:p>
        <w:p w14:paraId="14027C97" w14:textId="77777777" w:rsidR="006777C6" w:rsidRPr="00E60EEE" w:rsidRDefault="006777C6" w:rsidP="00932523">
          <w:pPr>
            <w:spacing w:beforeLines="20" w:before="48" w:afterLines="20" w:after="48"/>
            <w:jc w:val="center"/>
          </w:pPr>
          <w:r>
            <w:rPr>
              <w:color w:val="FFFFFF" w:themeColor="background1"/>
            </w:rPr>
            <w:t>Secondary</w:t>
          </w:r>
          <w:r w:rsidRPr="009B7033">
            <w:rPr>
              <w:color w:val="FFFFFF" w:themeColor="background1"/>
            </w:rPr>
            <w:t xml:space="preserve"> Document</w:t>
          </w:r>
        </w:p>
      </w:tc>
    </w:tr>
  </w:tbl>
  <w:p w14:paraId="44F7ADC6" w14:textId="77777777" w:rsidR="006777C6" w:rsidRPr="006777C6" w:rsidRDefault="006777C6" w:rsidP="006777C6">
    <w:pPr>
      <w:spacing w:after="0"/>
      <w:ind w:left="-709"/>
      <w:rPr>
        <w:sz w:val="8"/>
        <w:szCs w:val="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CCD70E" w14:textId="77777777" w:rsidR="006777C6" w:rsidRDefault="006777C6" w:rsidP="007D55DF">
    <w:pPr>
      <w:pStyle w:val="Header"/>
      <w:tabs>
        <w:tab w:val="clear" w:pos="9026"/>
        <w:tab w:val="right" w:pos="10206"/>
      </w:tabs>
    </w:pPr>
    <w:r>
      <w:t>Document control</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61120F" w14:textId="77777777" w:rsidR="006777C6" w:rsidRDefault="006777C6" w:rsidP="009568B9">
    <w:pPr>
      <w:pStyle w:val="Header"/>
      <w:tabs>
        <w:tab w:val="clear" w:pos="9026"/>
        <w:tab w:val="right" w:pos="10206"/>
      </w:tabs>
    </w:pPr>
    <w:r>
      <w:t>Document control</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B8AEDD" w14:textId="77777777" w:rsidR="006777C6" w:rsidRDefault="006777C6" w:rsidP="007D55DF">
    <w:pPr>
      <w:pStyle w:val="Header"/>
      <w:tabs>
        <w:tab w:val="clear" w:pos="9026"/>
        <w:tab w:val="right" w:pos="10206"/>
      </w:tabs>
    </w:pPr>
    <w:r>
      <w:t>Table of Contents</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90683" w14:textId="77777777" w:rsidR="006777C6" w:rsidRPr="00274F1C" w:rsidRDefault="006777C6" w:rsidP="009568B9">
    <w:pPr>
      <w:pStyle w:val="Header"/>
      <w:tabs>
        <w:tab w:val="clear" w:pos="4513"/>
        <w:tab w:val="clear" w:pos="9026"/>
      </w:tabs>
      <w:ind w:right="-568"/>
    </w:pPr>
    <w:r w:rsidRPr="00274F1C">
      <w:t>Table of Contents</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0811EF" w14:textId="25DD8986" w:rsidR="006777C6" w:rsidRPr="00274F1C" w:rsidRDefault="006777C6" w:rsidP="009568B9">
    <w:pPr>
      <w:pStyle w:val="Header"/>
      <w:tabs>
        <w:tab w:val="clear" w:pos="4513"/>
        <w:tab w:val="clear" w:pos="9026"/>
      </w:tabs>
      <w:ind w:right="-568"/>
    </w:pPr>
    <w:r>
      <w:t xml:space="preserve">NTPS </w:t>
    </w:r>
    <w:fldSimple w:instr=" TITLE   \* MERGEFORMAT ">
      <w:r w:rsidR="002D357C">
        <w:t>Northern Territory Public Sector Organisations Records and Information Management Standard</w:t>
      </w:r>
    </w:fldSimple>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BA9AE" w14:textId="77777777" w:rsidR="006777C6" w:rsidRPr="00861DC3" w:rsidRDefault="006777C6" w:rsidP="00354E47">
    <w:pPr>
      <w:pStyle w:val="Header"/>
      <w:tabs>
        <w:tab w:val="clear" w:pos="4513"/>
        <w:tab w:val="clear" w:pos="9026"/>
      </w:tabs>
      <w:ind w:right="-285"/>
    </w:pPr>
    <w:r>
      <w:t>Policy</w:t>
    </w:r>
    <w:r w:rsidRPr="00861DC3">
      <w:t xml:space="preserve"> Name</w:t>
    </w:r>
  </w:p>
  <w:p w14:paraId="38494C35" w14:textId="77777777" w:rsidR="006777C6" w:rsidRDefault="006777C6" w:rsidP="00354E47"/>
  <w:p w14:paraId="6EFD587B" w14:textId="77777777" w:rsidR="006777C6" w:rsidRDefault="006777C6" w:rsidP="00354E4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F2279"/>
    <w:multiLevelType w:val="hybridMultilevel"/>
    <w:tmpl w:val="95488688"/>
    <w:lvl w:ilvl="0" w:tplc="40CAD676">
      <w:start w:val="1"/>
      <w:numFmt w:val="decimal"/>
      <w:pStyle w:val="ListParagraph"/>
      <w:lvlText w:val="%1."/>
      <w:lvlJc w:val="lef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AE50CD1C">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1" w15:restartNumberingAfterBreak="0">
    <w:nsid w:val="24E93944"/>
    <w:multiLevelType w:val="multilevel"/>
    <w:tmpl w:val="4392BBB6"/>
    <w:styleLink w:val="NTGStandardList"/>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ind w:left="714" w:hanging="357"/>
      </w:pPr>
      <w:rPr>
        <w:rFonts w:ascii="Courier New" w:hAnsi="Courier New" w:cs="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 w15:restartNumberingAfterBreak="0">
    <w:nsid w:val="2A59584B"/>
    <w:multiLevelType w:val="multilevel"/>
    <w:tmpl w:val="95661914"/>
    <w:styleLink w:val="NTGTableList"/>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 w15:restartNumberingAfterBreak="0">
    <w:nsid w:val="46335E44"/>
    <w:multiLevelType w:val="multilevel"/>
    <w:tmpl w:val="53204A44"/>
    <w:styleLink w:val="NTGTableNum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D90555D"/>
    <w:multiLevelType w:val="multilevel"/>
    <w:tmpl w:val="86BA05C8"/>
    <w:styleLink w:val="NTGStandardNumList"/>
    <w:lvl w:ilvl="0">
      <w:start w:val="1"/>
      <w:numFmt w:val="decimal"/>
      <w:pStyle w:val="ListNumber"/>
      <w:lvlText w:val="%1."/>
      <w:lvlJc w:val="left"/>
      <w:pPr>
        <w:ind w:left="357" w:hanging="357"/>
      </w:pPr>
      <w:rPr>
        <w:rFonts w:hint="default"/>
      </w:rPr>
    </w:lvl>
    <w:lvl w:ilvl="1">
      <w:start w:val="1"/>
      <w:numFmt w:val="lowerLetter"/>
      <w:pStyle w:val="ListNumber2"/>
      <w:lvlText w:val="%2."/>
      <w:lvlJc w:val="left"/>
      <w:pPr>
        <w:ind w:left="714" w:hanging="357"/>
      </w:pPr>
      <w:rPr>
        <w:rFonts w:hint="default"/>
      </w:rPr>
    </w:lvl>
    <w:lvl w:ilvl="2">
      <w:start w:val="1"/>
      <w:numFmt w:val="lowerRoman"/>
      <w:pStyle w:val="ListNumber3"/>
      <w:lvlText w:val="%3."/>
      <w:lvlJc w:val="left"/>
      <w:pPr>
        <w:ind w:left="1071" w:hanging="357"/>
      </w:pPr>
      <w:rPr>
        <w:rFonts w:hint="default"/>
      </w:rPr>
    </w:lvl>
    <w:lvl w:ilvl="3">
      <w:start w:val="1"/>
      <w:numFmt w:val="decimal"/>
      <w:pStyle w:val="ListNumber4"/>
      <w:lvlText w:val="(%4)"/>
      <w:lvlJc w:val="left"/>
      <w:pPr>
        <w:ind w:left="1428" w:hanging="357"/>
      </w:pPr>
      <w:rPr>
        <w:rFonts w:hint="default"/>
      </w:rPr>
    </w:lvl>
    <w:lvl w:ilvl="4">
      <w:start w:val="1"/>
      <w:numFmt w:val="lowerLetter"/>
      <w:pStyle w:val="ListNumber5"/>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5" w15:restartNumberingAfterBreak="0">
    <w:nsid w:val="648628B6"/>
    <w:multiLevelType w:val="multilevel"/>
    <w:tmpl w:val="1364527A"/>
    <w:lvl w:ilvl="0">
      <w:start w:val="1"/>
      <w:numFmt w:val="lowerRoman"/>
      <w:pStyle w:val="NumberedPara"/>
      <w:lvlText w:val="%1."/>
      <w:lvlJc w:val="left"/>
      <w:pPr>
        <w:ind w:left="567" w:hanging="567"/>
      </w:pPr>
      <w:rPr>
        <w:rFonts w:hint="default"/>
      </w:rPr>
    </w:lvl>
    <w:lvl w:ilvl="1">
      <w:start w:val="1"/>
      <w:numFmt w:val="lowerLetter"/>
      <w:lvlText w:val="%2."/>
      <w:lvlJc w:val="left"/>
      <w:pPr>
        <w:ind w:left="567" w:hanging="567"/>
      </w:pPr>
      <w:rPr>
        <w:rFonts w:hint="default"/>
      </w:rPr>
    </w:lvl>
    <w:lvl w:ilvl="2">
      <w:start w:val="1"/>
      <w:numFmt w:val="lowerRoman"/>
      <w:lvlText w:val="%3."/>
      <w:lvlJc w:val="right"/>
      <w:pPr>
        <w:ind w:left="3447" w:hanging="567"/>
      </w:pPr>
      <w:rPr>
        <w:rFonts w:hint="default"/>
      </w:rPr>
    </w:lvl>
    <w:lvl w:ilvl="3">
      <w:start w:val="1"/>
      <w:numFmt w:val="decimal"/>
      <w:lvlText w:val="%4."/>
      <w:lvlJc w:val="left"/>
      <w:pPr>
        <w:ind w:left="4887" w:hanging="567"/>
      </w:pPr>
      <w:rPr>
        <w:rFonts w:hint="default"/>
      </w:rPr>
    </w:lvl>
    <w:lvl w:ilvl="4">
      <w:start w:val="1"/>
      <w:numFmt w:val="lowerLetter"/>
      <w:lvlText w:val="%5."/>
      <w:lvlJc w:val="left"/>
      <w:pPr>
        <w:ind w:left="6327" w:hanging="567"/>
      </w:pPr>
      <w:rPr>
        <w:rFonts w:hint="default"/>
      </w:rPr>
    </w:lvl>
    <w:lvl w:ilvl="5">
      <w:start w:val="1"/>
      <w:numFmt w:val="lowerRoman"/>
      <w:lvlText w:val="%6."/>
      <w:lvlJc w:val="right"/>
      <w:pPr>
        <w:ind w:left="7767" w:hanging="567"/>
      </w:pPr>
      <w:rPr>
        <w:rFonts w:hint="default"/>
      </w:rPr>
    </w:lvl>
    <w:lvl w:ilvl="6">
      <w:start w:val="1"/>
      <w:numFmt w:val="decimal"/>
      <w:lvlText w:val="%7."/>
      <w:lvlJc w:val="left"/>
      <w:pPr>
        <w:ind w:left="9207" w:hanging="567"/>
      </w:pPr>
      <w:rPr>
        <w:rFonts w:hint="default"/>
      </w:rPr>
    </w:lvl>
    <w:lvl w:ilvl="7">
      <w:start w:val="1"/>
      <w:numFmt w:val="lowerLetter"/>
      <w:lvlText w:val="%8."/>
      <w:lvlJc w:val="left"/>
      <w:pPr>
        <w:ind w:left="10647" w:hanging="567"/>
      </w:pPr>
      <w:rPr>
        <w:rFonts w:hint="default"/>
      </w:rPr>
    </w:lvl>
    <w:lvl w:ilvl="8">
      <w:start w:val="1"/>
      <w:numFmt w:val="lowerRoman"/>
      <w:lvlText w:val="%9."/>
      <w:lvlJc w:val="right"/>
      <w:pPr>
        <w:ind w:left="12087" w:hanging="567"/>
      </w:pPr>
      <w:rPr>
        <w:rFonts w:hint="default"/>
      </w:rPr>
    </w:lvl>
  </w:abstractNum>
  <w:abstractNum w:abstractNumId="6" w15:restartNumberingAfterBreak="0">
    <w:nsid w:val="79CC6470"/>
    <w:multiLevelType w:val="multilevel"/>
    <w:tmpl w:val="41A845A4"/>
    <w:lvl w:ilvl="0">
      <w:start w:val="1"/>
      <w:numFmt w:val="decimal"/>
      <w:pStyle w:val="Heading1"/>
      <w:lvlText w:val="%1"/>
      <w:lvlJc w:val="left"/>
      <w:pPr>
        <w:ind w:left="432" w:hanging="432"/>
      </w:pPr>
      <w:rPr>
        <w:rFonts w:hint="default"/>
        <w:b/>
        <w:i w:val="0"/>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7BBA653C"/>
    <w:multiLevelType w:val="multilevel"/>
    <w:tmpl w:val="4392BBB6"/>
    <w:numStyleLink w:val="NTGStandardList"/>
  </w:abstractNum>
  <w:num w:numId="1">
    <w:abstractNumId w:val="0"/>
  </w:num>
  <w:num w:numId="2">
    <w:abstractNumId w:val="1"/>
  </w:num>
  <w:num w:numId="3">
    <w:abstractNumId w:val="3"/>
  </w:num>
  <w:num w:numId="4">
    <w:abstractNumId w:val="2"/>
  </w:num>
  <w:num w:numId="5">
    <w:abstractNumId w:val="4"/>
  </w:num>
  <w:num w:numId="6">
    <w:abstractNumId w:val="6"/>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106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C08"/>
    <w:rsid w:val="00000C98"/>
    <w:rsid w:val="00005E61"/>
    <w:rsid w:val="000102B4"/>
    <w:rsid w:val="00010FD9"/>
    <w:rsid w:val="00014C76"/>
    <w:rsid w:val="0001749F"/>
    <w:rsid w:val="00017558"/>
    <w:rsid w:val="00020249"/>
    <w:rsid w:val="00021422"/>
    <w:rsid w:val="0002202F"/>
    <w:rsid w:val="00026F55"/>
    <w:rsid w:val="00027D9F"/>
    <w:rsid w:val="00030C95"/>
    <w:rsid w:val="00031544"/>
    <w:rsid w:val="00031593"/>
    <w:rsid w:val="000400E0"/>
    <w:rsid w:val="000425CA"/>
    <w:rsid w:val="000442F8"/>
    <w:rsid w:val="0005581E"/>
    <w:rsid w:val="000579A7"/>
    <w:rsid w:val="00062500"/>
    <w:rsid w:val="00062A78"/>
    <w:rsid w:val="00064E03"/>
    <w:rsid w:val="000659AD"/>
    <w:rsid w:val="000675B1"/>
    <w:rsid w:val="00067F54"/>
    <w:rsid w:val="0007076E"/>
    <w:rsid w:val="00071D36"/>
    <w:rsid w:val="0007259C"/>
    <w:rsid w:val="000769A6"/>
    <w:rsid w:val="000807CD"/>
    <w:rsid w:val="000857E8"/>
    <w:rsid w:val="000869B5"/>
    <w:rsid w:val="00086B5E"/>
    <w:rsid w:val="0009136A"/>
    <w:rsid w:val="00093ACD"/>
    <w:rsid w:val="0009463E"/>
    <w:rsid w:val="000A0800"/>
    <w:rsid w:val="000A0C61"/>
    <w:rsid w:val="000A1CC0"/>
    <w:rsid w:val="000A55BC"/>
    <w:rsid w:val="000A6AB9"/>
    <w:rsid w:val="000A6DD9"/>
    <w:rsid w:val="000B1DFF"/>
    <w:rsid w:val="000B580E"/>
    <w:rsid w:val="000C21B3"/>
    <w:rsid w:val="000C7C7C"/>
    <w:rsid w:val="000D329A"/>
    <w:rsid w:val="000D55D9"/>
    <w:rsid w:val="000D601D"/>
    <w:rsid w:val="000E272E"/>
    <w:rsid w:val="000E3A0B"/>
    <w:rsid w:val="000E4D76"/>
    <w:rsid w:val="000E4DA4"/>
    <w:rsid w:val="000E538B"/>
    <w:rsid w:val="000E64AE"/>
    <w:rsid w:val="000E651C"/>
    <w:rsid w:val="000E70DA"/>
    <w:rsid w:val="000E749B"/>
    <w:rsid w:val="000F0145"/>
    <w:rsid w:val="000F0751"/>
    <w:rsid w:val="000F1CDB"/>
    <w:rsid w:val="000F3985"/>
    <w:rsid w:val="000F4688"/>
    <w:rsid w:val="000F7D9E"/>
    <w:rsid w:val="00100146"/>
    <w:rsid w:val="00101FC2"/>
    <w:rsid w:val="0010364F"/>
    <w:rsid w:val="00107717"/>
    <w:rsid w:val="00107EBA"/>
    <w:rsid w:val="001130D4"/>
    <w:rsid w:val="001131C9"/>
    <w:rsid w:val="00117743"/>
    <w:rsid w:val="00117F5B"/>
    <w:rsid w:val="0012161F"/>
    <w:rsid w:val="00122FDD"/>
    <w:rsid w:val="00126ADB"/>
    <w:rsid w:val="00126E8C"/>
    <w:rsid w:val="00130B1D"/>
    <w:rsid w:val="00131895"/>
    <w:rsid w:val="001324D8"/>
    <w:rsid w:val="0013540A"/>
    <w:rsid w:val="00135CB0"/>
    <w:rsid w:val="00137663"/>
    <w:rsid w:val="00142E8F"/>
    <w:rsid w:val="001440C9"/>
    <w:rsid w:val="00146233"/>
    <w:rsid w:val="00146905"/>
    <w:rsid w:val="00150B00"/>
    <w:rsid w:val="001517D8"/>
    <w:rsid w:val="001621A8"/>
    <w:rsid w:val="0016284E"/>
    <w:rsid w:val="001636FF"/>
    <w:rsid w:val="001638F6"/>
    <w:rsid w:val="00166A51"/>
    <w:rsid w:val="00171ACA"/>
    <w:rsid w:val="00174A2C"/>
    <w:rsid w:val="00175507"/>
    <w:rsid w:val="0017601D"/>
    <w:rsid w:val="00177094"/>
    <w:rsid w:val="00182ACB"/>
    <w:rsid w:val="00184F9F"/>
    <w:rsid w:val="00191C15"/>
    <w:rsid w:val="00192BD8"/>
    <w:rsid w:val="001964DF"/>
    <w:rsid w:val="001A2B7F"/>
    <w:rsid w:val="001A4FE4"/>
    <w:rsid w:val="001A6484"/>
    <w:rsid w:val="001B00E6"/>
    <w:rsid w:val="001B1375"/>
    <w:rsid w:val="001B34F5"/>
    <w:rsid w:val="001B38B0"/>
    <w:rsid w:val="001B680E"/>
    <w:rsid w:val="001C18FB"/>
    <w:rsid w:val="001C194D"/>
    <w:rsid w:val="001C2466"/>
    <w:rsid w:val="001C269D"/>
    <w:rsid w:val="001C40CB"/>
    <w:rsid w:val="001C46A3"/>
    <w:rsid w:val="001D0D8D"/>
    <w:rsid w:val="001D1F24"/>
    <w:rsid w:val="001D21D4"/>
    <w:rsid w:val="001D6766"/>
    <w:rsid w:val="001D705C"/>
    <w:rsid w:val="001D7D7F"/>
    <w:rsid w:val="001E210A"/>
    <w:rsid w:val="001E2F4C"/>
    <w:rsid w:val="001E38D6"/>
    <w:rsid w:val="001E56E7"/>
    <w:rsid w:val="001E5ECE"/>
    <w:rsid w:val="001F139B"/>
    <w:rsid w:val="001F2613"/>
    <w:rsid w:val="001F5664"/>
    <w:rsid w:val="00202937"/>
    <w:rsid w:val="00203D5F"/>
    <w:rsid w:val="00210858"/>
    <w:rsid w:val="002213F4"/>
    <w:rsid w:val="002258B7"/>
    <w:rsid w:val="0022771E"/>
    <w:rsid w:val="00232F71"/>
    <w:rsid w:val="00252C5D"/>
    <w:rsid w:val="00253670"/>
    <w:rsid w:val="00253D5A"/>
    <w:rsid w:val="00254570"/>
    <w:rsid w:val="00255F0F"/>
    <w:rsid w:val="00261281"/>
    <w:rsid w:val="00263B36"/>
    <w:rsid w:val="00265121"/>
    <w:rsid w:val="0026539A"/>
    <w:rsid w:val="00266198"/>
    <w:rsid w:val="00267AD3"/>
    <w:rsid w:val="00271341"/>
    <w:rsid w:val="002722D0"/>
    <w:rsid w:val="00272D80"/>
    <w:rsid w:val="00274F1C"/>
    <w:rsid w:val="00275213"/>
    <w:rsid w:val="002824D4"/>
    <w:rsid w:val="00282E53"/>
    <w:rsid w:val="00284B5A"/>
    <w:rsid w:val="00286DE2"/>
    <w:rsid w:val="00287CA3"/>
    <w:rsid w:val="00290E1E"/>
    <w:rsid w:val="00293650"/>
    <w:rsid w:val="00293A72"/>
    <w:rsid w:val="00294A23"/>
    <w:rsid w:val="00296617"/>
    <w:rsid w:val="00296D54"/>
    <w:rsid w:val="00297A55"/>
    <w:rsid w:val="002A57F2"/>
    <w:rsid w:val="002A5D45"/>
    <w:rsid w:val="002B5C32"/>
    <w:rsid w:val="002B65FE"/>
    <w:rsid w:val="002C3C6A"/>
    <w:rsid w:val="002C4C59"/>
    <w:rsid w:val="002C551C"/>
    <w:rsid w:val="002C6633"/>
    <w:rsid w:val="002D1DC9"/>
    <w:rsid w:val="002D297A"/>
    <w:rsid w:val="002D348C"/>
    <w:rsid w:val="002D357C"/>
    <w:rsid w:val="002D385E"/>
    <w:rsid w:val="002D39F5"/>
    <w:rsid w:val="002E154C"/>
    <w:rsid w:val="002E1818"/>
    <w:rsid w:val="002E2A61"/>
    <w:rsid w:val="002E3B83"/>
    <w:rsid w:val="002E4182"/>
    <w:rsid w:val="002E6C40"/>
    <w:rsid w:val="002F2308"/>
    <w:rsid w:val="002F25BB"/>
    <w:rsid w:val="002F2885"/>
    <w:rsid w:val="002F3431"/>
    <w:rsid w:val="002F4E14"/>
    <w:rsid w:val="00300680"/>
    <w:rsid w:val="00301998"/>
    <w:rsid w:val="00305064"/>
    <w:rsid w:val="00305A79"/>
    <w:rsid w:val="00310B65"/>
    <w:rsid w:val="00310C91"/>
    <w:rsid w:val="00311DF6"/>
    <w:rsid w:val="00323866"/>
    <w:rsid w:val="00323EE7"/>
    <w:rsid w:val="0032424B"/>
    <w:rsid w:val="00324E24"/>
    <w:rsid w:val="00334C5F"/>
    <w:rsid w:val="00342283"/>
    <w:rsid w:val="00343311"/>
    <w:rsid w:val="003443FE"/>
    <w:rsid w:val="0034463B"/>
    <w:rsid w:val="003463DD"/>
    <w:rsid w:val="0034713C"/>
    <w:rsid w:val="00354E47"/>
    <w:rsid w:val="00355C3A"/>
    <w:rsid w:val="00360C74"/>
    <w:rsid w:val="00362D35"/>
    <w:rsid w:val="0036601D"/>
    <w:rsid w:val="0037283F"/>
    <w:rsid w:val="003758FE"/>
    <w:rsid w:val="00375DE4"/>
    <w:rsid w:val="00387390"/>
    <w:rsid w:val="003876D8"/>
    <w:rsid w:val="00394AAF"/>
    <w:rsid w:val="003A2A2B"/>
    <w:rsid w:val="003A7E88"/>
    <w:rsid w:val="003B2BE0"/>
    <w:rsid w:val="003B2E21"/>
    <w:rsid w:val="003B6A83"/>
    <w:rsid w:val="003B78AD"/>
    <w:rsid w:val="003C1A84"/>
    <w:rsid w:val="003C28E8"/>
    <w:rsid w:val="003C2B69"/>
    <w:rsid w:val="003C31AE"/>
    <w:rsid w:val="003C3617"/>
    <w:rsid w:val="003C5418"/>
    <w:rsid w:val="003D1543"/>
    <w:rsid w:val="003D2E72"/>
    <w:rsid w:val="003D5DCE"/>
    <w:rsid w:val="003E36E9"/>
    <w:rsid w:val="003E609D"/>
    <w:rsid w:val="003F0BAA"/>
    <w:rsid w:val="003F2F56"/>
    <w:rsid w:val="003F72B1"/>
    <w:rsid w:val="003F7792"/>
    <w:rsid w:val="00400524"/>
    <w:rsid w:val="0040077F"/>
    <w:rsid w:val="0040222A"/>
    <w:rsid w:val="0040350D"/>
    <w:rsid w:val="00404201"/>
    <w:rsid w:val="004047BC"/>
    <w:rsid w:val="00404B85"/>
    <w:rsid w:val="00407CDD"/>
    <w:rsid w:val="00410CF8"/>
    <w:rsid w:val="004116BA"/>
    <w:rsid w:val="0041210E"/>
    <w:rsid w:val="00412C0B"/>
    <w:rsid w:val="00414931"/>
    <w:rsid w:val="00414EF3"/>
    <w:rsid w:val="0041607F"/>
    <w:rsid w:val="00420C06"/>
    <w:rsid w:val="0042197E"/>
    <w:rsid w:val="00421A4A"/>
    <w:rsid w:val="0042205C"/>
    <w:rsid w:val="00426E25"/>
    <w:rsid w:val="00427AF4"/>
    <w:rsid w:val="00431A45"/>
    <w:rsid w:val="00431EDD"/>
    <w:rsid w:val="00434174"/>
    <w:rsid w:val="004432AA"/>
    <w:rsid w:val="00445BD5"/>
    <w:rsid w:val="00452631"/>
    <w:rsid w:val="004530A2"/>
    <w:rsid w:val="004569A0"/>
    <w:rsid w:val="004611EE"/>
    <w:rsid w:val="00463FFC"/>
    <w:rsid w:val="004653D1"/>
    <w:rsid w:val="00467E0F"/>
    <w:rsid w:val="00472F28"/>
    <w:rsid w:val="00473871"/>
    <w:rsid w:val="00483567"/>
    <w:rsid w:val="00485F28"/>
    <w:rsid w:val="004876CA"/>
    <w:rsid w:val="00487AD0"/>
    <w:rsid w:val="00487DFA"/>
    <w:rsid w:val="00494B8B"/>
    <w:rsid w:val="00495481"/>
    <w:rsid w:val="004979B7"/>
    <w:rsid w:val="004A01C4"/>
    <w:rsid w:val="004A097C"/>
    <w:rsid w:val="004A1318"/>
    <w:rsid w:val="004A5828"/>
    <w:rsid w:val="004A5AC6"/>
    <w:rsid w:val="004A6139"/>
    <w:rsid w:val="004B1434"/>
    <w:rsid w:val="004B2208"/>
    <w:rsid w:val="004B24EF"/>
    <w:rsid w:val="004B424F"/>
    <w:rsid w:val="004B56D0"/>
    <w:rsid w:val="004C2F32"/>
    <w:rsid w:val="004C40F1"/>
    <w:rsid w:val="004D4793"/>
    <w:rsid w:val="004D538E"/>
    <w:rsid w:val="004D71DC"/>
    <w:rsid w:val="004E2AB8"/>
    <w:rsid w:val="004F1EA5"/>
    <w:rsid w:val="004F3A84"/>
    <w:rsid w:val="004F5154"/>
    <w:rsid w:val="004F652B"/>
    <w:rsid w:val="004F7A4D"/>
    <w:rsid w:val="005021D3"/>
    <w:rsid w:val="0050585D"/>
    <w:rsid w:val="00506F94"/>
    <w:rsid w:val="00507782"/>
    <w:rsid w:val="0050790E"/>
    <w:rsid w:val="00510190"/>
    <w:rsid w:val="00512095"/>
    <w:rsid w:val="00512A04"/>
    <w:rsid w:val="00512F08"/>
    <w:rsid w:val="00513D5B"/>
    <w:rsid w:val="00516B26"/>
    <w:rsid w:val="00517D7A"/>
    <w:rsid w:val="00521D97"/>
    <w:rsid w:val="00522C01"/>
    <w:rsid w:val="00523530"/>
    <w:rsid w:val="00523B6A"/>
    <w:rsid w:val="00523B8A"/>
    <w:rsid w:val="0052441C"/>
    <w:rsid w:val="00524A38"/>
    <w:rsid w:val="00525522"/>
    <w:rsid w:val="00525EB8"/>
    <w:rsid w:val="00527D31"/>
    <w:rsid w:val="00533607"/>
    <w:rsid w:val="005341C7"/>
    <w:rsid w:val="00537992"/>
    <w:rsid w:val="00550F98"/>
    <w:rsid w:val="005518B2"/>
    <w:rsid w:val="00551D26"/>
    <w:rsid w:val="00552DC3"/>
    <w:rsid w:val="005570C9"/>
    <w:rsid w:val="005600E5"/>
    <w:rsid w:val="005625A2"/>
    <w:rsid w:val="0056302E"/>
    <w:rsid w:val="00563B18"/>
    <w:rsid w:val="005654B8"/>
    <w:rsid w:val="00565B05"/>
    <w:rsid w:val="005666BC"/>
    <w:rsid w:val="0056691F"/>
    <w:rsid w:val="005744F7"/>
    <w:rsid w:val="00574E3D"/>
    <w:rsid w:val="00576A68"/>
    <w:rsid w:val="005801A9"/>
    <w:rsid w:val="005832A9"/>
    <w:rsid w:val="00584F5C"/>
    <w:rsid w:val="005852A5"/>
    <w:rsid w:val="0058745C"/>
    <w:rsid w:val="00587DE5"/>
    <w:rsid w:val="00592014"/>
    <w:rsid w:val="00592F52"/>
    <w:rsid w:val="00594307"/>
    <w:rsid w:val="00597C89"/>
    <w:rsid w:val="005A09C3"/>
    <w:rsid w:val="005A47DD"/>
    <w:rsid w:val="005A7A8F"/>
    <w:rsid w:val="005B29D0"/>
    <w:rsid w:val="005B4B80"/>
    <w:rsid w:val="005B50B3"/>
    <w:rsid w:val="005B5AC2"/>
    <w:rsid w:val="005B77FD"/>
    <w:rsid w:val="005C0579"/>
    <w:rsid w:val="005C07F4"/>
    <w:rsid w:val="005C1413"/>
    <w:rsid w:val="005C1913"/>
    <w:rsid w:val="005C228E"/>
    <w:rsid w:val="005C57DE"/>
    <w:rsid w:val="005C6991"/>
    <w:rsid w:val="005C69CB"/>
    <w:rsid w:val="005D269A"/>
    <w:rsid w:val="005E2F53"/>
    <w:rsid w:val="005E540C"/>
    <w:rsid w:val="005E6140"/>
    <w:rsid w:val="005E6AF0"/>
    <w:rsid w:val="005E7F03"/>
    <w:rsid w:val="005F3AAF"/>
    <w:rsid w:val="005F764E"/>
    <w:rsid w:val="00606F52"/>
    <w:rsid w:val="00611486"/>
    <w:rsid w:val="006156AC"/>
    <w:rsid w:val="0062147A"/>
    <w:rsid w:val="0062572E"/>
    <w:rsid w:val="00625C16"/>
    <w:rsid w:val="006260E5"/>
    <w:rsid w:val="006279A6"/>
    <w:rsid w:val="00627EF9"/>
    <w:rsid w:val="006304B7"/>
    <w:rsid w:val="00630CB2"/>
    <w:rsid w:val="00631EB0"/>
    <w:rsid w:val="006324C4"/>
    <w:rsid w:val="006325A3"/>
    <w:rsid w:val="00633409"/>
    <w:rsid w:val="00634329"/>
    <w:rsid w:val="00635A42"/>
    <w:rsid w:val="00640FC1"/>
    <w:rsid w:val="0064264B"/>
    <w:rsid w:val="00642FC7"/>
    <w:rsid w:val="00643EE4"/>
    <w:rsid w:val="006460D7"/>
    <w:rsid w:val="006471CC"/>
    <w:rsid w:val="00650F5B"/>
    <w:rsid w:val="0065159B"/>
    <w:rsid w:val="00653C42"/>
    <w:rsid w:val="00654717"/>
    <w:rsid w:val="0066047C"/>
    <w:rsid w:val="006621DD"/>
    <w:rsid w:val="00662C66"/>
    <w:rsid w:val="006632A3"/>
    <w:rsid w:val="00664D41"/>
    <w:rsid w:val="006665CB"/>
    <w:rsid w:val="0066738F"/>
    <w:rsid w:val="00667D11"/>
    <w:rsid w:val="00671027"/>
    <w:rsid w:val="006719EA"/>
    <w:rsid w:val="006777C6"/>
    <w:rsid w:val="0068187F"/>
    <w:rsid w:val="006833F8"/>
    <w:rsid w:val="006848D6"/>
    <w:rsid w:val="00687169"/>
    <w:rsid w:val="00687540"/>
    <w:rsid w:val="006927B6"/>
    <w:rsid w:val="00694E5A"/>
    <w:rsid w:val="006958D1"/>
    <w:rsid w:val="00695C7D"/>
    <w:rsid w:val="006A0138"/>
    <w:rsid w:val="006A1065"/>
    <w:rsid w:val="006A450B"/>
    <w:rsid w:val="006A4905"/>
    <w:rsid w:val="006A769B"/>
    <w:rsid w:val="006B3D31"/>
    <w:rsid w:val="006B464F"/>
    <w:rsid w:val="006B7A4C"/>
    <w:rsid w:val="006C391B"/>
    <w:rsid w:val="006C58BE"/>
    <w:rsid w:val="006C5E23"/>
    <w:rsid w:val="006D097C"/>
    <w:rsid w:val="006D2394"/>
    <w:rsid w:val="006D420E"/>
    <w:rsid w:val="006D4508"/>
    <w:rsid w:val="006D475B"/>
    <w:rsid w:val="006D5C21"/>
    <w:rsid w:val="006E2015"/>
    <w:rsid w:val="006E2C29"/>
    <w:rsid w:val="006F18EB"/>
    <w:rsid w:val="00704304"/>
    <w:rsid w:val="00704FDF"/>
    <w:rsid w:val="00705033"/>
    <w:rsid w:val="00720B7E"/>
    <w:rsid w:val="00722544"/>
    <w:rsid w:val="00722DDB"/>
    <w:rsid w:val="0072364D"/>
    <w:rsid w:val="00734655"/>
    <w:rsid w:val="00736E66"/>
    <w:rsid w:val="007408F5"/>
    <w:rsid w:val="00740EA3"/>
    <w:rsid w:val="00742D33"/>
    <w:rsid w:val="007447BB"/>
    <w:rsid w:val="007453B5"/>
    <w:rsid w:val="0074582B"/>
    <w:rsid w:val="00751BE4"/>
    <w:rsid w:val="00754737"/>
    <w:rsid w:val="0076254D"/>
    <w:rsid w:val="00762C0F"/>
    <w:rsid w:val="0076350D"/>
    <w:rsid w:val="0076484E"/>
    <w:rsid w:val="00764C50"/>
    <w:rsid w:val="007650CE"/>
    <w:rsid w:val="00773EAE"/>
    <w:rsid w:val="00775AA2"/>
    <w:rsid w:val="007806A9"/>
    <w:rsid w:val="00782275"/>
    <w:rsid w:val="0078760A"/>
    <w:rsid w:val="007907CF"/>
    <w:rsid w:val="0079238B"/>
    <w:rsid w:val="00792CC2"/>
    <w:rsid w:val="0079424E"/>
    <w:rsid w:val="00795399"/>
    <w:rsid w:val="007958E0"/>
    <w:rsid w:val="00796423"/>
    <w:rsid w:val="00796859"/>
    <w:rsid w:val="007A3E91"/>
    <w:rsid w:val="007A6554"/>
    <w:rsid w:val="007B2A4D"/>
    <w:rsid w:val="007B4AE6"/>
    <w:rsid w:val="007B5415"/>
    <w:rsid w:val="007C3A7E"/>
    <w:rsid w:val="007C7ECC"/>
    <w:rsid w:val="007D1A0C"/>
    <w:rsid w:val="007D304A"/>
    <w:rsid w:val="007D55DF"/>
    <w:rsid w:val="007D61B7"/>
    <w:rsid w:val="007D7594"/>
    <w:rsid w:val="007D7A9E"/>
    <w:rsid w:val="007D7E7C"/>
    <w:rsid w:val="007E1AB8"/>
    <w:rsid w:val="007E3A16"/>
    <w:rsid w:val="007E4A26"/>
    <w:rsid w:val="007E6B3A"/>
    <w:rsid w:val="007E7E3A"/>
    <w:rsid w:val="007F51AD"/>
    <w:rsid w:val="00800CDB"/>
    <w:rsid w:val="00801D28"/>
    <w:rsid w:val="00802948"/>
    <w:rsid w:val="008039AB"/>
    <w:rsid w:val="008054B6"/>
    <w:rsid w:val="00805AD8"/>
    <w:rsid w:val="00806388"/>
    <w:rsid w:val="00806800"/>
    <w:rsid w:val="008130F4"/>
    <w:rsid w:val="00814580"/>
    <w:rsid w:val="00815C3E"/>
    <w:rsid w:val="00816296"/>
    <w:rsid w:val="00817F24"/>
    <w:rsid w:val="008206DB"/>
    <w:rsid w:val="0082325A"/>
    <w:rsid w:val="008241F6"/>
    <w:rsid w:val="008249DC"/>
    <w:rsid w:val="00824A3F"/>
    <w:rsid w:val="0082601D"/>
    <w:rsid w:val="00826724"/>
    <w:rsid w:val="00826C9C"/>
    <w:rsid w:val="00831054"/>
    <w:rsid w:val="008313C4"/>
    <w:rsid w:val="008330A9"/>
    <w:rsid w:val="008330AB"/>
    <w:rsid w:val="0083490F"/>
    <w:rsid w:val="00834F58"/>
    <w:rsid w:val="00835CB5"/>
    <w:rsid w:val="008403BF"/>
    <w:rsid w:val="00840B05"/>
    <w:rsid w:val="00842E81"/>
    <w:rsid w:val="0084388F"/>
    <w:rsid w:val="00844732"/>
    <w:rsid w:val="00845863"/>
    <w:rsid w:val="0084657A"/>
    <w:rsid w:val="00851599"/>
    <w:rsid w:val="00855D46"/>
    <w:rsid w:val="00856EC2"/>
    <w:rsid w:val="008575BE"/>
    <w:rsid w:val="00861DC3"/>
    <w:rsid w:val="00862018"/>
    <w:rsid w:val="00865CAC"/>
    <w:rsid w:val="008712F3"/>
    <w:rsid w:val="00872EA4"/>
    <w:rsid w:val="00875B49"/>
    <w:rsid w:val="00876840"/>
    <w:rsid w:val="00876E47"/>
    <w:rsid w:val="00877C1A"/>
    <w:rsid w:val="00892CF2"/>
    <w:rsid w:val="0089705F"/>
    <w:rsid w:val="008A4564"/>
    <w:rsid w:val="008A5871"/>
    <w:rsid w:val="008B432E"/>
    <w:rsid w:val="008B7CE8"/>
    <w:rsid w:val="008C1EDA"/>
    <w:rsid w:val="008C1FC0"/>
    <w:rsid w:val="008C22CE"/>
    <w:rsid w:val="008D442A"/>
    <w:rsid w:val="008D4775"/>
    <w:rsid w:val="008E0559"/>
    <w:rsid w:val="008E6962"/>
    <w:rsid w:val="008F0C81"/>
    <w:rsid w:val="008F1983"/>
    <w:rsid w:val="008F3330"/>
    <w:rsid w:val="008F3628"/>
    <w:rsid w:val="008F4B9C"/>
    <w:rsid w:val="008F7F52"/>
    <w:rsid w:val="00900038"/>
    <w:rsid w:val="0090341E"/>
    <w:rsid w:val="009036A6"/>
    <w:rsid w:val="00907139"/>
    <w:rsid w:val="009111B7"/>
    <w:rsid w:val="00915310"/>
    <w:rsid w:val="009169A1"/>
    <w:rsid w:val="00917753"/>
    <w:rsid w:val="00925D59"/>
    <w:rsid w:val="00927582"/>
    <w:rsid w:val="00932523"/>
    <w:rsid w:val="00933F01"/>
    <w:rsid w:val="00941BA7"/>
    <w:rsid w:val="00942D10"/>
    <w:rsid w:val="0094575C"/>
    <w:rsid w:val="009470C5"/>
    <w:rsid w:val="00951115"/>
    <w:rsid w:val="009520AD"/>
    <w:rsid w:val="00953486"/>
    <w:rsid w:val="009538CF"/>
    <w:rsid w:val="009568B9"/>
    <w:rsid w:val="009616DF"/>
    <w:rsid w:val="00964F84"/>
    <w:rsid w:val="0096528F"/>
    <w:rsid w:val="00965661"/>
    <w:rsid w:val="00966E27"/>
    <w:rsid w:val="00967469"/>
    <w:rsid w:val="009763AB"/>
    <w:rsid w:val="009805D4"/>
    <w:rsid w:val="00983875"/>
    <w:rsid w:val="009908F6"/>
    <w:rsid w:val="00990EDF"/>
    <w:rsid w:val="0099105E"/>
    <w:rsid w:val="00992DD5"/>
    <w:rsid w:val="00993C8E"/>
    <w:rsid w:val="00994724"/>
    <w:rsid w:val="009A25A1"/>
    <w:rsid w:val="009A2EE5"/>
    <w:rsid w:val="009A3AF3"/>
    <w:rsid w:val="009A4808"/>
    <w:rsid w:val="009A58FE"/>
    <w:rsid w:val="009A62F9"/>
    <w:rsid w:val="009A7587"/>
    <w:rsid w:val="009B13E5"/>
    <w:rsid w:val="009B5E82"/>
    <w:rsid w:val="009B6238"/>
    <w:rsid w:val="009B72BD"/>
    <w:rsid w:val="009B7DBD"/>
    <w:rsid w:val="009C00CA"/>
    <w:rsid w:val="009D0EF7"/>
    <w:rsid w:val="009D1880"/>
    <w:rsid w:val="009D3051"/>
    <w:rsid w:val="009D6559"/>
    <w:rsid w:val="009D687A"/>
    <w:rsid w:val="009E175D"/>
    <w:rsid w:val="009E36A8"/>
    <w:rsid w:val="009E392B"/>
    <w:rsid w:val="009F07D3"/>
    <w:rsid w:val="009F39FB"/>
    <w:rsid w:val="00A06F2A"/>
    <w:rsid w:val="00A1061C"/>
    <w:rsid w:val="00A10F8C"/>
    <w:rsid w:val="00A15482"/>
    <w:rsid w:val="00A17318"/>
    <w:rsid w:val="00A2042D"/>
    <w:rsid w:val="00A23E25"/>
    <w:rsid w:val="00A24C50"/>
    <w:rsid w:val="00A2555B"/>
    <w:rsid w:val="00A2573A"/>
    <w:rsid w:val="00A308B9"/>
    <w:rsid w:val="00A370B6"/>
    <w:rsid w:val="00A3739D"/>
    <w:rsid w:val="00A37DDA"/>
    <w:rsid w:val="00A420F3"/>
    <w:rsid w:val="00A42D4E"/>
    <w:rsid w:val="00A439C1"/>
    <w:rsid w:val="00A43A04"/>
    <w:rsid w:val="00A44226"/>
    <w:rsid w:val="00A45F95"/>
    <w:rsid w:val="00A46370"/>
    <w:rsid w:val="00A46F78"/>
    <w:rsid w:val="00A47708"/>
    <w:rsid w:val="00A50834"/>
    <w:rsid w:val="00A53808"/>
    <w:rsid w:val="00A5592D"/>
    <w:rsid w:val="00A634BA"/>
    <w:rsid w:val="00A640F1"/>
    <w:rsid w:val="00A65FF6"/>
    <w:rsid w:val="00A72667"/>
    <w:rsid w:val="00A7746C"/>
    <w:rsid w:val="00A8441D"/>
    <w:rsid w:val="00A84807"/>
    <w:rsid w:val="00A860CB"/>
    <w:rsid w:val="00A8690F"/>
    <w:rsid w:val="00A925EC"/>
    <w:rsid w:val="00A93E19"/>
    <w:rsid w:val="00A9508D"/>
    <w:rsid w:val="00A95BEF"/>
    <w:rsid w:val="00A95C9D"/>
    <w:rsid w:val="00AA40F3"/>
    <w:rsid w:val="00AA4961"/>
    <w:rsid w:val="00AA5B9F"/>
    <w:rsid w:val="00AB094F"/>
    <w:rsid w:val="00AB698F"/>
    <w:rsid w:val="00AC279B"/>
    <w:rsid w:val="00AC4F74"/>
    <w:rsid w:val="00AC6CA2"/>
    <w:rsid w:val="00AC710E"/>
    <w:rsid w:val="00AD0115"/>
    <w:rsid w:val="00AD3D82"/>
    <w:rsid w:val="00AD55EA"/>
    <w:rsid w:val="00AE0E74"/>
    <w:rsid w:val="00AE2F50"/>
    <w:rsid w:val="00AE6EDD"/>
    <w:rsid w:val="00AF2EE7"/>
    <w:rsid w:val="00AF38A9"/>
    <w:rsid w:val="00AF3FDB"/>
    <w:rsid w:val="00AF6F44"/>
    <w:rsid w:val="00AF7BB4"/>
    <w:rsid w:val="00B023A1"/>
    <w:rsid w:val="00B02977"/>
    <w:rsid w:val="00B04D22"/>
    <w:rsid w:val="00B059E4"/>
    <w:rsid w:val="00B0613B"/>
    <w:rsid w:val="00B10678"/>
    <w:rsid w:val="00B15095"/>
    <w:rsid w:val="00B17BCA"/>
    <w:rsid w:val="00B220EA"/>
    <w:rsid w:val="00B27BB1"/>
    <w:rsid w:val="00B304E5"/>
    <w:rsid w:val="00B3071A"/>
    <w:rsid w:val="00B31014"/>
    <w:rsid w:val="00B341B4"/>
    <w:rsid w:val="00B343CC"/>
    <w:rsid w:val="00B36316"/>
    <w:rsid w:val="00B42873"/>
    <w:rsid w:val="00B46882"/>
    <w:rsid w:val="00B52FFB"/>
    <w:rsid w:val="00B533D4"/>
    <w:rsid w:val="00B548F1"/>
    <w:rsid w:val="00B57511"/>
    <w:rsid w:val="00B57E06"/>
    <w:rsid w:val="00B611F9"/>
    <w:rsid w:val="00B6187D"/>
    <w:rsid w:val="00B61936"/>
    <w:rsid w:val="00B61B26"/>
    <w:rsid w:val="00B64198"/>
    <w:rsid w:val="00B7250C"/>
    <w:rsid w:val="00B73C5B"/>
    <w:rsid w:val="00B74E74"/>
    <w:rsid w:val="00B7558F"/>
    <w:rsid w:val="00B7773D"/>
    <w:rsid w:val="00B800BF"/>
    <w:rsid w:val="00B8120F"/>
    <w:rsid w:val="00B82113"/>
    <w:rsid w:val="00B8229A"/>
    <w:rsid w:val="00B826FE"/>
    <w:rsid w:val="00B82F03"/>
    <w:rsid w:val="00B8476D"/>
    <w:rsid w:val="00B8544B"/>
    <w:rsid w:val="00B87F51"/>
    <w:rsid w:val="00B93D1C"/>
    <w:rsid w:val="00B95F12"/>
    <w:rsid w:val="00BA1B4B"/>
    <w:rsid w:val="00BB0AC8"/>
    <w:rsid w:val="00BB18BB"/>
    <w:rsid w:val="00BB2406"/>
    <w:rsid w:val="00BB3635"/>
    <w:rsid w:val="00BB548E"/>
    <w:rsid w:val="00BB6464"/>
    <w:rsid w:val="00BB7389"/>
    <w:rsid w:val="00BB7ADA"/>
    <w:rsid w:val="00BC0376"/>
    <w:rsid w:val="00BC4ADA"/>
    <w:rsid w:val="00BC6328"/>
    <w:rsid w:val="00BC6955"/>
    <w:rsid w:val="00BD03DA"/>
    <w:rsid w:val="00BD11F3"/>
    <w:rsid w:val="00BD14CE"/>
    <w:rsid w:val="00BE2733"/>
    <w:rsid w:val="00BE57AE"/>
    <w:rsid w:val="00BF01AF"/>
    <w:rsid w:val="00BF0E9D"/>
    <w:rsid w:val="00BF4DCB"/>
    <w:rsid w:val="00BF4F99"/>
    <w:rsid w:val="00BF524B"/>
    <w:rsid w:val="00BF5EB6"/>
    <w:rsid w:val="00BF6139"/>
    <w:rsid w:val="00BF70F1"/>
    <w:rsid w:val="00C00C9A"/>
    <w:rsid w:val="00C03567"/>
    <w:rsid w:val="00C06D0B"/>
    <w:rsid w:val="00C10C01"/>
    <w:rsid w:val="00C11249"/>
    <w:rsid w:val="00C13505"/>
    <w:rsid w:val="00C15186"/>
    <w:rsid w:val="00C1778D"/>
    <w:rsid w:val="00C21EAE"/>
    <w:rsid w:val="00C323FB"/>
    <w:rsid w:val="00C3405C"/>
    <w:rsid w:val="00C3445B"/>
    <w:rsid w:val="00C36417"/>
    <w:rsid w:val="00C3798E"/>
    <w:rsid w:val="00C40DBF"/>
    <w:rsid w:val="00C42979"/>
    <w:rsid w:val="00C43455"/>
    <w:rsid w:val="00C470A9"/>
    <w:rsid w:val="00C50562"/>
    <w:rsid w:val="00C53FDB"/>
    <w:rsid w:val="00C54170"/>
    <w:rsid w:val="00C57616"/>
    <w:rsid w:val="00C60F01"/>
    <w:rsid w:val="00C62099"/>
    <w:rsid w:val="00C6281A"/>
    <w:rsid w:val="00C63580"/>
    <w:rsid w:val="00C7006E"/>
    <w:rsid w:val="00C704A9"/>
    <w:rsid w:val="00C70905"/>
    <w:rsid w:val="00C70932"/>
    <w:rsid w:val="00C756B9"/>
    <w:rsid w:val="00C75E81"/>
    <w:rsid w:val="00C8083D"/>
    <w:rsid w:val="00C83B4F"/>
    <w:rsid w:val="00C93767"/>
    <w:rsid w:val="00C95064"/>
    <w:rsid w:val="00CA3B32"/>
    <w:rsid w:val="00CA5D48"/>
    <w:rsid w:val="00CB19D2"/>
    <w:rsid w:val="00CB36E0"/>
    <w:rsid w:val="00CB56CD"/>
    <w:rsid w:val="00CB6D3F"/>
    <w:rsid w:val="00CC0409"/>
    <w:rsid w:val="00CC7DEB"/>
    <w:rsid w:val="00CD214D"/>
    <w:rsid w:val="00CD3B9F"/>
    <w:rsid w:val="00CD4A6E"/>
    <w:rsid w:val="00CD4CEC"/>
    <w:rsid w:val="00CF0455"/>
    <w:rsid w:val="00CF3DFF"/>
    <w:rsid w:val="00CF537C"/>
    <w:rsid w:val="00D01696"/>
    <w:rsid w:val="00D019B6"/>
    <w:rsid w:val="00D07531"/>
    <w:rsid w:val="00D118D0"/>
    <w:rsid w:val="00D12B4B"/>
    <w:rsid w:val="00D1341E"/>
    <w:rsid w:val="00D168C1"/>
    <w:rsid w:val="00D17014"/>
    <w:rsid w:val="00D211FA"/>
    <w:rsid w:val="00D23DDD"/>
    <w:rsid w:val="00D248DD"/>
    <w:rsid w:val="00D31094"/>
    <w:rsid w:val="00D31623"/>
    <w:rsid w:val="00D41E22"/>
    <w:rsid w:val="00D440C7"/>
    <w:rsid w:val="00D50356"/>
    <w:rsid w:val="00D531D8"/>
    <w:rsid w:val="00D55C02"/>
    <w:rsid w:val="00D60A3D"/>
    <w:rsid w:val="00D617C8"/>
    <w:rsid w:val="00D62168"/>
    <w:rsid w:val="00D66E0F"/>
    <w:rsid w:val="00D670F0"/>
    <w:rsid w:val="00D67441"/>
    <w:rsid w:val="00D706BD"/>
    <w:rsid w:val="00D74E07"/>
    <w:rsid w:val="00D77D62"/>
    <w:rsid w:val="00D812BD"/>
    <w:rsid w:val="00D86C08"/>
    <w:rsid w:val="00D901E5"/>
    <w:rsid w:val="00D92457"/>
    <w:rsid w:val="00D92A16"/>
    <w:rsid w:val="00D975C0"/>
    <w:rsid w:val="00DA0997"/>
    <w:rsid w:val="00DA3ACE"/>
    <w:rsid w:val="00DA551E"/>
    <w:rsid w:val="00DB08B4"/>
    <w:rsid w:val="00DB152C"/>
    <w:rsid w:val="00DB3AC6"/>
    <w:rsid w:val="00DB78C5"/>
    <w:rsid w:val="00DC1EFF"/>
    <w:rsid w:val="00DC24DD"/>
    <w:rsid w:val="00DC2D9A"/>
    <w:rsid w:val="00DC42E6"/>
    <w:rsid w:val="00DC5DD9"/>
    <w:rsid w:val="00DC656A"/>
    <w:rsid w:val="00DD090F"/>
    <w:rsid w:val="00DD1D88"/>
    <w:rsid w:val="00DD2A20"/>
    <w:rsid w:val="00DD36D1"/>
    <w:rsid w:val="00DD7246"/>
    <w:rsid w:val="00DD76C9"/>
    <w:rsid w:val="00DE2902"/>
    <w:rsid w:val="00DE773C"/>
    <w:rsid w:val="00DF0487"/>
    <w:rsid w:val="00DF0DBB"/>
    <w:rsid w:val="00DF1E6E"/>
    <w:rsid w:val="00DF2E69"/>
    <w:rsid w:val="00DF43E8"/>
    <w:rsid w:val="00DF6A4A"/>
    <w:rsid w:val="00E0047C"/>
    <w:rsid w:val="00E04EE5"/>
    <w:rsid w:val="00E050B2"/>
    <w:rsid w:val="00E06EB2"/>
    <w:rsid w:val="00E13571"/>
    <w:rsid w:val="00E1526B"/>
    <w:rsid w:val="00E15DAF"/>
    <w:rsid w:val="00E218F2"/>
    <w:rsid w:val="00E26295"/>
    <w:rsid w:val="00E2785C"/>
    <w:rsid w:val="00E3133C"/>
    <w:rsid w:val="00E317A2"/>
    <w:rsid w:val="00E33EE4"/>
    <w:rsid w:val="00E35590"/>
    <w:rsid w:val="00E36A00"/>
    <w:rsid w:val="00E370D9"/>
    <w:rsid w:val="00E42353"/>
    <w:rsid w:val="00E42488"/>
    <w:rsid w:val="00E42FAD"/>
    <w:rsid w:val="00E44C92"/>
    <w:rsid w:val="00E45820"/>
    <w:rsid w:val="00E47247"/>
    <w:rsid w:val="00E47A68"/>
    <w:rsid w:val="00E51B1A"/>
    <w:rsid w:val="00E5211A"/>
    <w:rsid w:val="00E554DF"/>
    <w:rsid w:val="00E55E0F"/>
    <w:rsid w:val="00E566A9"/>
    <w:rsid w:val="00E6045E"/>
    <w:rsid w:val="00E62BAF"/>
    <w:rsid w:val="00E63FC0"/>
    <w:rsid w:val="00E70147"/>
    <w:rsid w:val="00E71C08"/>
    <w:rsid w:val="00E7270A"/>
    <w:rsid w:val="00E74939"/>
    <w:rsid w:val="00E76D70"/>
    <w:rsid w:val="00E779F8"/>
    <w:rsid w:val="00E829F0"/>
    <w:rsid w:val="00E839C9"/>
    <w:rsid w:val="00E87E4C"/>
    <w:rsid w:val="00E910F9"/>
    <w:rsid w:val="00E9229F"/>
    <w:rsid w:val="00E928F5"/>
    <w:rsid w:val="00E9517C"/>
    <w:rsid w:val="00E9605F"/>
    <w:rsid w:val="00EA2B27"/>
    <w:rsid w:val="00EA3B1A"/>
    <w:rsid w:val="00EA3D0F"/>
    <w:rsid w:val="00EA3E3E"/>
    <w:rsid w:val="00EA522A"/>
    <w:rsid w:val="00EB091B"/>
    <w:rsid w:val="00EB2E46"/>
    <w:rsid w:val="00EB59A5"/>
    <w:rsid w:val="00EB79D1"/>
    <w:rsid w:val="00EC00BC"/>
    <w:rsid w:val="00EC30C1"/>
    <w:rsid w:val="00EC36B3"/>
    <w:rsid w:val="00EC3A58"/>
    <w:rsid w:val="00EC48C4"/>
    <w:rsid w:val="00EC59E3"/>
    <w:rsid w:val="00ED081D"/>
    <w:rsid w:val="00ED2A9D"/>
    <w:rsid w:val="00ED5D0D"/>
    <w:rsid w:val="00ED744E"/>
    <w:rsid w:val="00EE16D5"/>
    <w:rsid w:val="00EE4419"/>
    <w:rsid w:val="00EF519B"/>
    <w:rsid w:val="00EF55D6"/>
    <w:rsid w:val="00EF6454"/>
    <w:rsid w:val="00F023FE"/>
    <w:rsid w:val="00F0343D"/>
    <w:rsid w:val="00F04113"/>
    <w:rsid w:val="00F04768"/>
    <w:rsid w:val="00F076B1"/>
    <w:rsid w:val="00F147E2"/>
    <w:rsid w:val="00F1588B"/>
    <w:rsid w:val="00F16E36"/>
    <w:rsid w:val="00F24E86"/>
    <w:rsid w:val="00F267BE"/>
    <w:rsid w:val="00F42E39"/>
    <w:rsid w:val="00F44C03"/>
    <w:rsid w:val="00F4672A"/>
    <w:rsid w:val="00F47D06"/>
    <w:rsid w:val="00F525E6"/>
    <w:rsid w:val="00F5344D"/>
    <w:rsid w:val="00F53607"/>
    <w:rsid w:val="00F56BC0"/>
    <w:rsid w:val="00F56C92"/>
    <w:rsid w:val="00F57283"/>
    <w:rsid w:val="00F57D11"/>
    <w:rsid w:val="00F60011"/>
    <w:rsid w:val="00F6492F"/>
    <w:rsid w:val="00F64EC8"/>
    <w:rsid w:val="00F74525"/>
    <w:rsid w:val="00F748D0"/>
    <w:rsid w:val="00F75D64"/>
    <w:rsid w:val="00F803EC"/>
    <w:rsid w:val="00F80A59"/>
    <w:rsid w:val="00F84173"/>
    <w:rsid w:val="00F847B0"/>
    <w:rsid w:val="00F901F8"/>
    <w:rsid w:val="00F922E3"/>
    <w:rsid w:val="00F929D2"/>
    <w:rsid w:val="00F967DC"/>
    <w:rsid w:val="00FA19E4"/>
    <w:rsid w:val="00FA21E9"/>
    <w:rsid w:val="00FA2EAB"/>
    <w:rsid w:val="00FA6D3D"/>
    <w:rsid w:val="00FB3109"/>
    <w:rsid w:val="00FB5006"/>
    <w:rsid w:val="00FB5692"/>
    <w:rsid w:val="00FC452E"/>
    <w:rsid w:val="00FC4ABE"/>
    <w:rsid w:val="00FC4E53"/>
    <w:rsid w:val="00FC5A80"/>
    <w:rsid w:val="00FC6C12"/>
    <w:rsid w:val="00FD15ED"/>
    <w:rsid w:val="00FD1B07"/>
    <w:rsid w:val="00FD77DB"/>
    <w:rsid w:val="00FD79D4"/>
    <w:rsid w:val="00FE0608"/>
    <w:rsid w:val="00FE21CF"/>
    <w:rsid w:val="00FE26F3"/>
    <w:rsid w:val="00FE3213"/>
    <w:rsid w:val="00FE39EA"/>
    <w:rsid w:val="00FE6996"/>
    <w:rsid w:val="00FF6CE7"/>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7606A8"/>
  <w15:docId w15:val="{A8164276-A0AD-4D97-BDD2-804D56DD7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sz w:val="22"/>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uiPriority="9"/>
    <w:lsdException w:name="heading 6" w:uiPriority="9"/>
    <w:lsdException w:name="heading 7" w:uiPriority="9" w:unhideWhenUsed="1"/>
    <w:lsdException w:name="heading 8" w:uiPriority="9" w:unhideWhenUsed="1"/>
    <w:lsdException w:name="heading 9"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3D1"/>
    <w:pPr>
      <w:spacing w:after="200"/>
    </w:pPr>
  </w:style>
  <w:style w:type="paragraph" w:styleId="Heading1">
    <w:name w:val="heading 1"/>
    <w:basedOn w:val="Normal"/>
    <w:next w:val="Normal"/>
    <w:link w:val="Heading1Char"/>
    <w:qFormat/>
    <w:rsid w:val="009B6238"/>
    <w:pPr>
      <w:keepNext/>
      <w:numPr>
        <w:numId w:val="6"/>
      </w:numPr>
      <w:spacing w:before="240"/>
      <w:outlineLvl w:val="0"/>
    </w:pPr>
    <w:rPr>
      <w:rFonts w:eastAsiaTheme="majorEastAsia" w:cstheme="majorBidi"/>
      <w:b/>
      <w:bCs/>
      <w:kern w:val="32"/>
      <w:sz w:val="36"/>
      <w:szCs w:val="32"/>
    </w:rPr>
  </w:style>
  <w:style w:type="paragraph" w:styleId="Heading2">
    <w:name w:val="heading 2"/>
    <w:basedOn w:val="Normal"/>
    <w:next w:val="Normal"/>
    <w:link w:val="Heading2Char"/>
    <w:qFormat/>
    <w:rsid w:val="00B46882"/>
    <w:pPr>
      <w:keepNext/>
      <w:numPr>
        <w:ilvl w:val="1"/>
        <w:numId w:val="6"/>
      </w:numPr>
      <w:spacing w:before="240"/>
      <w:ind w:left="709" w:hanging="709"/>
      <w:outlineLvl w:val="1"/>
    </w:pPr>
    <w:rPr>
      <w:rFonts w:eastAsiaTheme="majorEastAsia" w:cstheme="majorBidi"/>
      <w:b/>
      <w:bCs/>
      <w:iCs/>
      <w:color w:val="606060"/>
      <w:sz w:val="32"/>
      <w:szCs w:val="32"/>
    </w:rPr>
  </w:style>
  <w:style w:type="paragraph" w:styleId="Heading3">
    <w:name w:val="heading 3"/>
    <w:basedOn w:val="Normal"/>
    <w:next w:val="Normal"/>
    <w:link w:val="Heading3Char"/>
    <w:qFormat/>
    <w:rsid w:val="00B46882"/>
    <w:pPr>
      <w:keepNext/>
      <w:numPr>
        <w:ilvl w:val="2"/>
        <w:numId w:val="6"/>
      </w:numPr>
      <w:spacing w:before="240"/>
      <w:ind w:left="851" w:hanging="851"/>
      <w:outlineLvl w:val="2"/>
    </w:pPr>
    <w:rPr>
      <w:rFonts w:cs="Arial"/>
      <w:b/>
      <w:bCs/>
      <w:color w:val="E36C0A" w:themeColor="accent6" w:themeShade="BF"/>
      <w:sz w:val="28"/>
      <w:szCs w:val="28"/>
    </w:rPr>
  </w:style>
  <w:style w:type="paragraph" w:styleId="Heading4">
    <w:name w:val="heading 4"/>
    <w:basedOn w:val="Normal"/>
    <w:next w:val="Normal"/>
    <w:link w:val="Heading4Char"/>
    <w:qFormat/>
    <w:rsid w:val="0002202F"/>
    <w:pPr>
      <w:widowControl w:val="0"/>
      <w:pBdr>
        <w:top w:val="single" w:sz="4" w:space="6" w:color="auto"/>
        <w:left w:val="single" w:sz="4" w:space="4" w:color="auto"/>
        <w:bottom w:val="single" w:sz="4" w:space="6" w:color="auto"/>
        <w:right w:val="single" w:sz="4" w:space="4" w:color="auto"/>
      </w:pBdr>
      <w:ind w:left="992" w:hanging="992"/>
      <w:outlineLvl w:val="3"/>
    </w:pPr>
    <w:rPr>
      <w:rFonts w:eastAsia="Times New Roman"/>
      <w:b/>
      <w:bCs/>
      <w:szCs w:val="20"/>
    </w:rPr>
  </w:style>
  <w:style w:type="paragraph" w:styleId="Heading5">
    <w:name w:val="heading 5"/>
    <w:basedOn w:val="Normal"/>
    <w:next w:val="Normal"/>
    <w:link w:val="Heading5Char"/>
    <w:uiPriority w:val="9"/>
    <w:rsid w:val="00597C89"/>
    <w:pPr>
      <w:keepNext/>
      <w:numPr>
        <w:ilvl w:val="4"/>
        <w:numId w:val="6"/>
      </w:numPr>
      <w:outlineLvl w:val="4"/>
    </w:pPr>
    <w:rPr>
      <w:b/>
      <w:color w:val="000000" w:themeColor="text1"/>
    </w:rPr>
  </w:style>
  <w:style w:type="paragraph" w:styleId="Heading6">
    <w:name w:val="heading 6"/>
    <w:basedOn w:val="Normal"/>
    <w:next w:val="Normal"/>
    <w:link w:val="Heading6Char"/>
    <w:uiPriority w:val="9"/>
    <w:rsid w:val="00597C89"/>
    <w:pPr>
      <w:keepNext/>
      <w:numPr>
        <w:ilvl w:val="5"/>
        <w:numId w:val="6"/>
      </w:numPr>
      <w:outlineLvl w:val="5"/>
    </w:pPr>
    <w:rPr>
      <w:b/>
      <w:color w:val="606060"/>
    </w:rPr>
  </w:style>
  <w:style w:type="paragraph" w:styleId="Heading7">
    <w:name w:val="heading 7"/>
    <w:basedOn w:val="Normal"/>
    <w:next w:val="Normal"/>
    <w:link w:val="Heading7Char"/>
    <w:uiPriority w:val="9"/>
    <w:rsid w:val="00597C89"/>
    <w:pPr>
      <w:keepNext/>
      <w:numPr>
        <w:ilvl w:val="6"/>
        <w:numId w:val="6"/>
      </w:numPr>
      <w:outlineLvl w:val="6"/>
    </w:pPr>
    <w:rPr>
      <w:b/>
      <w:color w:val="000000" w:themeColor="text1"/>
    </w:rPr>
  </w:style>
  <w:style w:type="paragraph" w:styleId="Heading8">
    <w:name w:val="heading 8"/>
    <w:basedOn w:val="Normal"/>
    <w:next w:val="Normal"/>
    <w:link w:val="Heading8Char"/>
    <w:uiPriority w:val="9"/>
    <w:rsid w:val="00597C89"/>
    <w:pPr>
      <w:keepNext/>
      <w:numPr>
        <w:ilvl w:val="7"/>
        <w:numId w:val="6"/>
      </w:numPr>
      <w:outlineLvl w:val="7"/>
    </w:pPr>
    <w:rPr>
      <w:b/>
      <w:color w:val="606060"/>
    </w:rPr>
  </w:style>
  <w:style w:type="paragraph" w:styleId="Heading9">
    <w:name w:val="heading 9"/>
    <w:basedOn w:val="Normal"/>
    <w:next w:val="Normal"/>
    <w:link w:val="Heading9Char"/>
    <w:uiPriority w:val="9"/>
    <w:rsid w:val="00597C89"/>
    <w:pPr>
      <w:keepNext/>
      <w:numPr>
        <w:ilvl w:val="8"/>
        <w:numId w:val="6"/>
      </w:numPr>
      <w:outlineLvl w:val="8"/>
    </w:pPr>
    <w:rPr>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6238"/>
    <w:rPr>
      <w:rFonts w:eastAsiaTheme="majorEastAsia" w:cstheme="majorBidi"/>
      <w:b/>
      <w:bCs/>
      <w:kern w:val="32"/>
      <w:sz w:val="36"/>
      <w:szCs w:val="32"/>
    </w:rPr>
  </w:style>
  <w:style w:type="character" w:customStyle="1" w:styleId="Heading2Char">
    <w:name w:val="Heading 2 Char"/>
    <w:basedOn w:val="DefaultParagraphFont"/>
    <w:link w:val="Heading2"/>
    <w:rsid w:val="00B46882"/>
    <w:rPr>
      <w:rFonts w:eastAsiaTheme="majorEastAsia" w:cstheme="majorBidi"/>
      <w:b/>
      <w:bCs/>
      <w:iCs/>
      <w:color w:val="606060"/>
      <w:sz w:val="32"/>
      <w:szCs w:val="32"/>
    </w:rPr>
  </w:style>
  <w:style w:type="paragraph" w:styleId="Title">
    <w:name w:val="Title"/>
    <w:basedOn w:val="Normal"/>
    <w:next w:val="Normal"/>
    <w:link w:val="TitleChar"/>
    <w:uiPriority w:val="10"/>
    <w:semiHidden/>
    <w:qFormat/>
    <w:rsid w:val="004653D1"/>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semiHidden/>
    <w:rsid w:val="004653D1"/>
    <w:rPr>
      <w:rFonts w:eastAsiaTheme="majorEastAsia" w:cstheme="majorBidi"/>
      <w:b/>
      <w:bCs/>
      <w:kern w:val="28"/>
      <w:sz w:val="32"/>
      <w:szCs w:val="32"/>
    </w:rPr>
  </w:style>
  <w:style w:type="paragraph" w:styleId="Subtitle">
    <w:name w:val="Subtitle"/>
    <w:basedOn w:val="SubTitle0"/>
    <w:next w:val="Normal"/>
    <w:link w:val="SubtitleChar"/>
    <w:uiPriority w:val="11"/>
    <w:semiHidden/>
    <w:qFormat/>
    <w:rsid w:val="004653D1"/>
  </w:style>
  <w:style w:type="character" w:customStyle="1" w:styleId="SubtitleChar">
    <w:name w:val="Subtitle Char"/>
    <w:basedOn w:val="DefaultParagraphFont"/>
    <w:link w:val="Subtitle"/>
    <w:uiPriority w:val="11"/>
    <w:semiHidden/>
    <w:rsid w:val="004653D1"/>
    <w:rPr>
      <w:rFonts w:cs="Arial"/>
      <w:b/>
      <w:bCs/>
      <w:sz w:val="32"/>
      <w:szCs w:val="24"/>
    </w:rPr>
  </w:style>
  <w:style w:type="character" w:customStyle="1" w:styleId="Heading3Char">
    <w:name w:val="Heading 3 Char"/>
    <w:basedOn w:val="DefaultParagraphFont"/>
    <w:link w:val="Heading3"/>
    <w:rsid w:val="00B46882"/>
    <w:rPr>
      <w:rFonts w:cs="Arial"/>
      <w:b/>
      <w:bCs/>
      <w:color w:val="E36C0A" w:themeColor="accent6" w:themeShade="BF"/>
      <w:sz w:val="28"/>
      <w:szCs w:val="28"/>
    </w:rPr>
  </w:style>
  <w:style w:type="paragraph" w:styleId="ListParagraph">
    <w:name w:val="List Paragraph"/>
    <w:basedOn w:val="Normal"/>
    <w:uiPriority w:val="34"/>
    <w:rsid w:val="0076350D"/>
    <w:pPr>
      <w:numPr>
        <w:numId w:val="1"/>
      </w:numPr>
      <w:contextualSpacing/>
    </w:pPr>
  </w:style>
  <w:style w:type="numbering" w:customStyle="1" w:styleId="NTGStandardList">
    <w:name w:val="NTG Standard List"/>
    <w:basedOn w:val="NoList"/>
    <w:rsid w:val="0076350D"/>
    <w:pPr>
      <w:numPr>
        <w:numId w:val="2"/>
      </w:numPr>
    </w:pPr>
  </w:style>
  <w:style w:type="paragraph" w:styleId="Header">
    <w:name w:val="header"/>
    <w:aliases w:val="NTG Page Header"/>
    <w:basedOn w:val="Normal"/>
    <w:next w:val="Normal"/>
    <w:link w:val="HeaderChar"/>
    <w:uiPriority w:val="99"/>
    <w:rsid w:val="0076350D"/>
    <w:pPr>
      <w:tabs>
        <w:tab w:val="center" w:pos="4513"/>
        <w:tab w:val="right" w:pos="9026"/>
      </w:tabs>
      <w:jc w:val="right"/>
    </w:pPr>
    <w:rPr>
      <w:b/>
    </w:rPr>
  </w:style>
  <w:style w:type="character" w:customStyle="1" w:styleId="HeaderChar">
    <w:name w:val="Header Char"/>
    <w:aliases w:val="NTG Page Header Char"/>
    <w:basedOn w:val="DefaultParagraphFont"/>
    <w:link w:val="Header"/>
    <w:uiPriority w:val="99"/>
    <w:rsid w:val="0076350D"/>
    <w:rPr>
      <w:b/>
    </w:rPr>
  </w:style>
  <w:style w:type="paragraph" w:styleId="Footer">
    <w:name w:val="footer"/>
    <w:next w:val="Normal"/>
    <w:link w:val="FooterChar"/>
    <w:uiPriority w:val="99"/>
    <w:semiHidden/>
    <w:rsid w:val="0076350D"/>
    <w:pPr>
      <w:tabs>
        <w:tab w:val="right" w:pos="9639"/>
        <w:tab w:val="right" w:pos="14459"/>
      </w:tabs>
      <w:ind w:right="-284"/>
    </w:pPr>
    <w:rPr>
      <w:rFonts w:eastAsia="Times New Roman" w:cs="Arial"/>
      <w:noProof/>
      <w:sz w:val="16"/>
      <w:lang w:eastAsia="en-AU"/>
    </w:rPr>
  </w:style>
  <w:style w:type="character" w:customStyle="1" w:styleId="FooterChar">
    <w:name w:val="Footer Char"/>
    <w:basedOn w:val="DefaultParagraphFont"/>
    <w:link w:val="Footer"/>
    <w:uiPriority w:val="99"/>
    <w:semiHidden/>
    <w:rsid w:val="0076350D"/>
    <w:rPr>
      <w:rFonts w:eastAsia="Times New Roman" w:cs="Arial"/>
      <w:noProof/>
      <w:sz w:val="16"/>
      <w:lang w:eastAsia="en-AU"/>
    </w:rPr>
  </w:style>
  <w:style w:type="character" w:customStyle="1" w:styleId="Heading5Char">
    <w:name w:val="Heading 5 Char"/>
    <w:basedOn w:val="DefaultParagraphFont"/>
    <w:link w:val="Heading5"/>
    <w:uiPriority w:val="9"/>
    <w:rsid w:val="00597C89"/>
    <w:rPr>
      <w:b/>
      <w:color w:val="000000" w:themeColor="text1"/>
    </w:rPr>
  </w:style>
  <w:style w:type="paragraph" w:customStyle="1" w:styleId="SubTitle0">
    <w:name w:val="Sub Title"/>
    <w:basedOn w:val="Normal"/>
    <w:uiPriority w:val="99"/>
    <w:qFormat/>
    <w:rsid w:val="006777C6"/>
    <w:pPr>
      <w:spacing w:before="800" w:after="0"/>
    </w:pPr>
    <w:rPr>
      <w:rFonts w:cs="Arial"/>
      <w:b/>
      <w:bCs/>
      <w:sz w:val="32"/>
      <w:szCs w:val="24"/>
    </w:rPr>
  </w:style>
  <w:style w:type="character" w:customStyle="1" w:styleId="Heading6Char">
    <w:name w:val="Heading 6 Char"/>
    <w:basedOn w:val="DefaultParagraphFont"/>
    <w:link w:val="Heading6"/>
    <w:uiPriority w:val="9"/>
    <w:rsid w:val="00597C89"/>
    <w:rPr>
      <w:b/>
      <w:color w:val="606060"/>
    </w:rPr>
  </w:style>
  <w:style w:type="paragraph" w:styleId="BalloonText">
    <w:name w:val="Balloon Text"/>
    <w:basedOn w:val="Normal"/>
    <w:link w:val="BalloonTextChar"/>
    <w:uiPriority w:val="99"/>
    <w:semiHidden/>
    <w:rsid w:val="0076350D"/>
    <w:rPr>
      <w:rFonts w:ascii="Tahoma" w:hAnsi="Tahoma" w:cs="Tahoma"/>
      <w:sz w:val="16"/>
      <w:szCs w:val="16"/>
    </w:rPr>
  </w:style>
  <w:style w:type="character" w:customStyle="1" w:styleId="BalloonTextChar">
    <w:name w:val="Balloon Text Char"/>
    <w:basedOn w:val="DefaultParagraphFont"/>
    <w:link w:val="BalloonText"/>
    <w:uiPriority w:val="99"/>
    <w:semiHidden/>
    <w:rsid w:val="0076350D"/>
    <w:rPr>
      <w:rFonts w:ascii="Tahoma" w:hAnsi="Tahoma" w:cs="Tahoma"/>
      <w:sz w:val="16"/>
      <w:szCs w:val="16"/>
    </w:rPr>
  </w:style>
  <w:style w:type="character" w:styleId="PageNumber">
    <w:name w:val="page number"/>
    <w:basedOn w:val="DefaultParagraphFont"/>
    <w:semiHidden/>
    <w:rsid w:val="0076350D"/>
  </w:style>
  <w:style w:type="character" w:customStyle="1" w:styleId="Heading4Char">
    <w:name w:val="Heading 4 Char"/>
    <w:basedOn w:val="DefaultParagraphFont"/>
    <w:link w:val="Heading4"/>
    <w:rsid w:val="0002202F"/>
    <w:rPr>
      <w:rFonts w:eastAsia="Times New Roman"/>
      <w:b/>
      <w:bCs/>
      <w:szCs w:val="20"/>
    </w:rPr>
  </w:style>
  <w:style w:type="paragraph" w:styleId="NormalWeb">
    <w:name w:val="Normal (Web)"/>
    <w:basedOn w:val="Normal"/>
    <w:uiPriority w:val="99"/>
    <w:semiHidden/>
    <w:rsid w:val="0076350D"/>
    <w:rPr>
      <w:rFonts w:ascii="Times New Roman" w:hAnsi="Times New Roman"/>
      <w:sz w:val="24"/>
      <w:szCs w:val="24"/>
    </w:rPr>
  </w:style>
  <w:style w:type="paragraph" w:styleId="BodyText">
    <w:name w:val="Body Text"/>
    <w:basedOn w:val="Normal"/>
    <w:link w:val="BodyTextChar"/>
    <w:uiPriority w:val="99"/>
    <w:semiHidden/>
    <w:rsid w:val="0076350D"/>
    <w:pPr>
      <w:spacing w:after="120"/>
    </w:pPr>
  </w:style>
  <w:style w:type="character" w:customStyle="1" w:styleId="BodyTextChar">
    <w:name w:val="Body Text Char"/>
    <w:basedOn w:val="DefaultParagraphFont"/>
    <w:link w:val="BodyText"/>
    <w:uiPriority w:val="99"/>
    <w:semiHidden/>
    <w:rsid w:val="0076350D"/>
  </w:style>
  <w:style w:type="paragraph" w:customStyle="1" w:styleId="NTGCoverPageDate">
    <w:name w:val="NTG Cover Page Date"/>
    <w:next w:val="Normal"/>
    <w:rsid w:val="0076350D"/>
    <w:pPr>
      <w:spacing w:before="1400"/>
    </w:pPr>
    <w:rPr>
      <w:rFonts w:eastAsia="Times New Roman"/>
      <w:sz w:val="28"/>
      <w:lang w:eastAsia="en-AU"/>
    </w:rPr>
  </w:style>
  <w:style w:type="paragraph" w:styleId="TOC2">
    <w:name w:val="toc 2"/>
    <w:basedOn w:val="Normal"/>
    <w:next w:val="Normal"/>
    <w:uiPriority w:val="39"/>
    <w:rsid w:val="00844732"/>
    <w:pPr>
      <w:tabs>
        <w:tab w:val="left" w:leader="dot" w:pos="1134"/>
        <w:tab w:val="right" w:leader="dot" w:pos="9639"/>
      </w:tabs>
      <w:spacing w:after="60"/>
      <w:ind w:left="1134" w:hanging="709"/>
      <w:contextualSpacing/>
    </w:pPr>
    <w:rPr>
      <w:rFonts w:eastAsiaTheme="minorEastAsia" w:cs="Arial"/>
      <w:noProof/>
      <w:lang w:eastAsia="en-AU"/>
    </w:rPr>
  </w:style>
  <w:style w:type="paragraph" w:styleId="TOC1">
    <w:name w:val="toc 1"/>
    <w:basedOn w:val="Normal"/>
    <w:next w:val="Normal"/>
    <w:uiPriority w:val="39"/>
    <w:rsid w:val="00844732"/>
    <w:pPr>
      <w:tabs>
        <w:tab w:val="left" w:pos="426"/>
        <w:tab w:val="right" w:leader="dot" w:pos="9639"/>
      </w:tabs>
      <w:spacing w:before="120" w:after="60"/>
      <w:ind w:left="425" w:hanging="425"/>
    </w:pPr>
    <w:rPr>
      <w:rFonts w:eastAsiaTheme="minorEastAsia" w:cs="Arial"/>
      <w:b/>
      <w:noProof/>
      <w:lang w:eastAsia="en-AU"/>
    </w:rPr>
  </w:style>
  <w:style w:type="paragraph" w:styleId="TOC3">
    <w:name w:val="toc 3"/>
    <w:basedOn w:val="Normal"/>
    <w:next w:val="Normal"/>
    <w:uiPriority w:val="39"/>
    <w:rsid w:val="00844732"/>
    <w:pPr>
      <w:tabs>
        <w:tab w:val="left" w:leader="dot" w:pos="1559"/>
        <w:tab w:val="right" w:leader="dot" w:pos="9639"/>
      </w:tabs>
      <w:spacing w:after="60"/>
      <w:ind w:left="1559" w:hanging="992"/>
      <w:contextualSpacing/>
    </w:pPr>
    <w:rPr>
      <w:rFonts w:eastAsiaTheme="minorEastAsia" w:cs="Arial"/>
      <w:noProof/>
      <w:lang w:eastAsia="en-AU"/>
    </w:rPr>
  </w:style>
  <w:style w:type="paragraph" w:styleId="TOC5">
    <w:name w:val="toc 5"/>
    <w:basedOn w:val="Normal"/>
    <w:next w:val="Normal"/>
    <w:uiPriority w:val="39"/>
    <w:rsid w:val="00844732"/>
    <w:pPr>
      <w:tabs>
        <w:tab w:val="left" w:leader="dot" w:pos="2126"/>
        <w:tab w:val="right" w:leader="dot" w:pos="9638"/>
      </w:tabs>
      <w:spacing w:after="60"/>
      <w:ind w:left="2127" w:hanging="1276"/>
      <w:contextualSpacing/>
    </w:pPr>
    <w:rPr>
      <w:noProof/>
      <w:szCs w:val="24"/>
    </w:rPr>
  </w:style>
  <w:style w:type="character" w:styleId="Hyperlink">
    <w:name w:val="Hyperlink"/>
    <w:uiPriority w:val="99"/>
    <w:rsid w:val="0076350D"/>
    <w:rPr>
      <w:color w:val="0000FF"/>
      <w:u w:val="single"/>
    </w:rPr>
  </w:style>
  <w:style w:type="paragraph" w:customStyle="1" w:styleId="Appendix">
    <w:name w:val="Appendix"/>
    <w:basedOn w:val="Heading1"/>
    <w:next w:val="Normal"/>
    <w:uiPriority w:val="6"/>
    <w:qFormat/>
    <w:rsid w:val="004653D1"/>
    <w:pPr>
      <w:numPr>
        <w:numId w:val="0"/>
      </w:numPr>
    </w:pPr>
  </w:style>
  <w:style w:type="paragraph" w:styleId="TOC4">
    <w:name w:val="toc 4"/>
    <w:basedOn w:val="Normal"/>
    <w:next w:val="Normal"/>
    <w:uiPriority w:val="39"/>
    <w:rsid w:val="00844732"/>
    <w:pPr>
      <w:tabs>
        <w:tab w:val="left" w:leader="dot" w:pos="1843"/>
        <w:tab w:val="right" w:leader="dot" w:pos="9639"/>
      </w:tabs>
      <w:spacing w:after="60"/>
      <w:ind w:left="1843" w:hanging="1134"/>
      <w:contextualSpacing/>
    </w:pPr>
    <w:rPr>
      <w:noProof/>
    </w:rPr>
  </w:style>
  <w:style w:type="character" w:styleId="PlaceholderText">
    <w:name w:val="Placeholder Text"/>
    <w:basedOn w:val="DefaultParagraphFont"/>
    <w:uiPriority w:val="99"/>
    <w:semiHidden/>
    <w:rsid w:val="0076350D"/>
    <w:rPr>
      <w:color w:val="808080"/>
    </w:rPr>
  </w:style>
  <w:style w:type="paragraph" w:styleId="TOCHeading">
    <w:name w:val="TOC Heading"/>
    <w:basedOn w:val="Heading1"/>
    <w:next w:val="Normal"/>
    <w:uiPriority w:val="39"/>
    <w:semiHidden/>
    <w:qFormat/>
    <w:rsid w:val="0076350D"/>
    <w:pPr>
      <w:keepLines/>
      <w:numPr>
        <w:numId w:val="0"/>
      </w:numPr>
      <w:spacing w:before="480" w:after="0" w:line="276" w:lineRule="auto"/>
      <w:outlineLvl w:val="9"/>
    </w:pPr>
    <w:rPr>
      <w:kern w:val="0"/>
      <w:szCs w:val="28"/>
      <w:lang w:eastAsia="ja-JP"/>
    </w:rPr>
  </w:style>
  <w:style w:type="numbering" w:customStyle="1" w:styleId="NTGTableNumList">
    <w:name w:val="NTG Table Num List"/>
    <w:uiPriority w:val="99"/>
    <w:rsid w:val="0076350D"/>
    <w:pPr>
      <w:numPr>
        <w:numId w:val="3"/>
      </w:numPr>
    </w:pPr>
  </w:style>
  <w:style w:type="table" w:styleId="TableGrid">
    <w:name w:val="Table Grid"/>
    <w:basedOn w:val="TableNormal"/>
    <w:rsid w:val="00763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TGCoverPageTitle">
    <w:name w:val="NTG Cover Page Title"/>
    <w:basedOn w:val="Normal"/>
    <w:uiPriority w:val="99"/>
    <w:rsid w:val="0076350D"/>
    <w:pPr>
      <w:tabs>
        <w:tab w:val="left" w:pos="2805"/>
      </w:tabs>
      <w:autoSpaceDE w:val="0"/>
      <w:autoSpaceDN w:val="0"/>
      <w:adjustRightInd w:val="0"/>
      <w:spacing w:before="1000" w:line="700" w:lineRule="atLeast"/>
      <w:textAlignment w:val="center"/>
    </w:pPr>
    <w:rPr>
      <w:rFonts w:ascii="Arial Black" w:eastAsiaTheme="minorHAnsi" w:hAnsi="Arial Black" w:cs="Lato Black"/>
      <w:color w:val="CB6015"/>
      <w:sz w:val="66"/>
      <w:szCs w:val="66"/>
      <w:lang w:val="en-GB"/>
    </w:rPr>
  </w:style>
  <w:style w:type="paragraph" w:customStyle="1" w:styleId="Footerspacing">
    <w:name w:val="Footer spacing"/>
    <w:semiHidden/>
    <w:rsid w:val="0076350D"/>
    <w:rPr>
      <w:rFonts w:cs="Arial"/>
      <w:sz w:val="6"/>
      <w:szCs w:val="6"/>
    </w:rPr>
  </w:style>
  <w:style w:type="paragraph" w:customStyle="1" w:styleId="NTGCoverPageVersion">
    <w:name w:val="NTG Cover Page Version"/>
    <w:rsid w:val="0076350D"/>
    <w:rPr>
      <w:rFonts w:eastAsia="Times New Roman"/>
      <w:sz w:val="28"/>
      <w:lang w:eastAsia="en-AU"/>
    </w:rPr>
  </w:style>
  <w:style w:type="character" w:customStyle="1" w:styleId="Heading7Char">
    <w:name w:val="Heading 7 Char"/>
    <w:basedOn w:val="DefaultParagraphFont"/>
    <w:link w:val="Heading7"/>
    <w:uiPriority w:val="9"/>
    <w:rsid w:val="00597C89"/>
    <w:rPr>
      <w:b/>
      <w:color w:val="000000" w:themeColor="text1"/>
    </w:rPr>
  </w:style>
  <w:style w:type="paragraph" w:customStyle="1" w:styleId="NTGFooterDateVersion">
    <w:name w:val="NTG Footer Date &amp; Version"/>
    <w:basedOn w:val="Normal"/>
    <w:link w:val="NTGFooterDateVersionChar"/>
    <w:rsid w:val="0076350D"/>
    <w:pPr>
      <w:widowControl w:val="0"/>
      <w:tabs>
        <w:tab w:val="right" w:pos="9026"/>
      </w:tabs>
      <w:spacing w:after="240"/>
    </w:pPr>
    <w:rPr>
      <w:rFonts w:cs="Arial"/>
      <w:sz w:val="20"/>
      <w:szCs w:val="16"/>
    </w:rPr>
  </w:style>
  <w:style w:type="paragraph" w:customStyle="1" w:styleId="NTGFooterDepartmentandPagenumber">
    <w:name w:val="NTG Footer Department and Page number"/>
    <w:basedOn w:val="Normal"/>
    <w:link w:val="NTGFooterDepartmentandPagenumberChar"/>
    <w:rsid w:val="0076350D"/>
    <w:pPr>
      <w:widowControl w:val="0"/>
      <w:tabs>
        <w:tab w:val="right" w:pos="9026"/>
      </w:tabs>
      <w:spacing w:after="0"/>
    </w:pPr>
    <w:rPr>
      <w:rFonts w:cs="Arial"/>
      <w:sz w:val="20"/>
      <w:szCs w:val="16"/>
    </w:rPr>
  </w:style>
  <w:style w:type="paragraph" w:customStyle="1" w:styleId="NTGFooterDepartmentof">
    <w:name w:val="NTG Footer Department of"/>
    <w:basedOn w:val="Normal"/>
    <w:link w:val="NTGFooterDepartmentofChar"/>
    <w:rsid w:val="0076350D"/>
    <w:pPr>
      <w:widowControl w:val="0"/>
      <w:tabs>
        <w:tab w:val="right" w:pos="9026"/>
      </w:tabs>
      <w:spacing w:after="0"/>
    </w:pPr>
    <w:rPr>
      <w:rFonts w:cs="Arial"/>
      <w:caps/>
      <w:sz w:val="20"/>
      <w:szCs w:val="16"/>
    </w:rPr>
  </w:style>
  <w:style w:type="paragraph" w:customStyle="1" w:styleId="NTGFooterDepartmentName">
    <w:name w:val="NTG Footer Department Name"/>
    <w:basedOn w:val="Normal"/>
    <w:link w:val="NTGFooterDepartmentNameChar"/>
    <w:uiPriority w:val="1"/>
    <w:rsid w:val="0076350D"/>
    <w:pPr>
      <w:widowControl w:val="0"/>
      <w:tabs>
        <w:tab w:val="right" w:pos="9026"/>
      </w:tabs>
      <w:spacing w:after="0"/>
    </w:pPr>
    <w:rPr>
      <w:rFonts w:ascii="Arial Black" w:hAnsi="Arial Black" w:cs="Arial"/>
      <w:caps/>
      <w:sz w:val="20"/>
      <w:szCs w:val="16"/>
    </w:rPr>
  </w:style>
  <w:style w:type="character" w:customStyle="1" w:styleId="NTGFooterDateVersionChar">
    <w:name w:val="NTG Footer Date &amp; Version Char"/>
    <w:basedOn w:val="DefaultParagraphFont"/>
    <w:link w:val="NTGFooterDateVersion"/>
    <w:rsid w:val="0076350D"/>
    <w:rPr>
      <w:rFonts w:cs="Arial"/>
      <w:sz w:val="20"/>
      <w:szCs w:val="16"/>
    </w:rPr>
  </w:style>
  <w:style w:type="character" w:customStyle="1" w:styleId="NTGFooterDepartmentofChar">
    <w:name w:val="NTG Footer Department of Char"/>
    <w:basedOn w:val="DefaultParagraphFont"/>
    <w:link w:val="NTGFooterDepartmentof"/>
    <w:rsid w:val="0076350D"/>
    <w:rPr>
      <w:rFonts w:cs="Arial"/>
      <w:caps/>
      <w:sz w:val="20"/>
      <w:szCs w:val="16"/>
    </w:rPr>
  </w:style>
  <w:style w:type="character" w:customStyle="1" w:styleId="NTGFooterDepartmentandPagenumberChar">
    <w:name w:val="NTG Footer Department and Page number Char"/>
    <w:basedOn w:val="DefaultParagraphFont"/>
    <w:link w:val="NTGFooterDepartmentandPagenumber"/>
    <w:rsid w:val="0076350D"/>
    <w:rPr>
      <w:rFonts w:cs="Arial"/>
      <w:sz w:val="20"/>
      <w:szCs w:val="16"/>
    </w:rPr>
  </w:style>
  <w:style w:type="character" w:customStyle="1" w:styleId="NTGFooterDepartmentNameChar">
    <w:name w:val="NTG Footer Department Name Char"/>
    <w:basedOn w:val="NTGFooterDepartmentofChar"/>
    <w:link w:val="NTGFooterDepartmentName"/>
    <w:uiPriority w:val="1"/>
    <w:rsid w:val="0076350D"/>
    <w:rPr>
      <w:rFonts w:ascii="Arial Black" w:hAnsi="Arial Black" w:cs="Arial"/>
      <w:caps/>
      <w:sz w:val="20"/>
      <w:szCs w:val="16"/>
    </w:rPr>
  </w:style>
  <w:style w:type="paragraph" w:styleId="FootnoteText">
    <w:name w:val="footnote text"/>
    <w:basedOn w:val="Normal"/>
    <w:link w:val="FootnoteTextChar"/>
    <w:semiHidden/>
    <w:rsid w:val="0076350D"/>
    <w:pPr>
      <w:spacing w:after="0"/>
    </w:pPr>
    <w:rPr>
      <w:sz w:val="20"/>
    </w:rPr>
  </w:style>
  <w:style w:type="character" w:customStyle="1" w:styleId="FootnoteTextChar">
    <w:name w:val="Footnote Text Char"/>
    <w:basedOn w:val="DefaultParagraphFont"/>
    <w:link w:val="FootnoteText"/>
    <w:semiHidden/>
    <w:rsid w:val="0076350D"/>
    <w:rPr>
      <w:sz w:val="20"/>
    </w:rPr>
  </w:style>
  <w:style w:type="character" w:styleId="FootnoteReference">
    <w:name w:val="footnote reference"/>
    <w:basedOn w:val="DefaultParagraphFont"/>
    <w:semiHidden/>
    <w:rsid w:val="0076350D"/>
    <w:rPr>
      <w:vertAlign w:val="superscript"/>
    </w:rPr>
  </w:style>
  <w:style w:type="paragraph" w:customStyle="1" w:styleId="NTGTableText">
    <w:name w:val="NTG Table Text"/>
    <w:basedOn w:val="Normal"/>
    <w:qFormat/>
    <w:rsid w:val="004653D1"/>
    <w:pPr>
      <w:spacing w:before="40" w:after="40"/>
    </w:pPr>
    <w:rPr>
      <w:rFonts w:eastAsia="Times New Roman"/>
      <w:szCs w:val="20"/>
    </w:rPr>
  </w:style>
  <w:style w:type="paragraph" w:styleId="ListBullet2">
    <w:name w:val="List Bullet 2"/>
    <w:basedOn w:val="Normal"/>
    <w:uiPriority w:val="99"/>
    <w:rsid w:val="0076350D"/>
    <w:pPr>
      <w:numPr>
        <w:ilvl w:val="1"/>
        <w:numId w:val="48"/>
      </w:numPr>
    </w:pPr>
    <w:rPr>
      <w:rFonts w:eastAsia="Times New Roman"/>
      <w:iCs/>
      <w:szCs w:val="20"/>
      <w:lang w:eastAsia="en-AU"/>
    </w:rPr>
  </w:style>
  <w:style w:type="paragraph" w:styleId="ListBullet">
    <w:name w:val="List Bullet"/>
    <w:basedOn w:val="Normal"/>
    <w:uiPriority w:val="99"/>
    <w:rsid w:val="0076350D"/>
    <w:pPr>
      <w:numPr>
        <w:numId w:val="48"/>
      </w:numPr>
    </w:pPr>
    <w:rPr>
      <w:rFonts w:eastAsia="Times New Roman"/>
      <w:iCs/>
      <w:szCs w:val="20"/>
      <w:lang w:eastAsia="en-AU"/>
    </w:rPr>
  </w:style>
  <w:style w:type="paragraph" w:styleId="ListBullet3">
    <w:name w:val="List Bullet 3"/>
    <w:basedOn w:val="Normal"/>
    <w:uiPriority w:val="99"/>
    <w:rsid w:val="0076350D"/>
    <w:pPr>
      <w:numPr>
        <w:ilvl w:val="2"/>
        <w:numId w:val="48"/>
      </w:numPr>
    </w:pPr>
    <w:rPr>
      <w:rFonts w:eastAsia="Times New Roman"/>
      <w:iCs/>
      <w:szCs w:val="20"/>
      <w:lang w:eastAsia="en-AU"/>
    </w:rPr>
  </w:style>
  <w:style w:type="table" w:customStyle="1" w:styleId="NTGTable">
    <w:name w:val="NTG Table"/>
    <w:basedOn w:val="TableTheme"/>
    <w:uiPriority w:val="99"/>
    <w:rsid w:val="0076350D"/>
    <w:tblPr>
      <w:tblInd w:w="113" w:type="dxa"/>
    </w:tblPr>
    <w:tcPr>
      <w:shd w:val="clear" w:color="auto" w:fill="auto"/>
    </w:tcPr>
    <w:tblStylePr w:type="firstRow">
      <w:pPr>
        <w:wordWrap/>
        <w:spacing w:beforeLines="0" w:before="60" w:beforeAutospacing="0" w:afterLines="0" w:after="60" w:afterAutospacing="0"/>
        <w:contextualSpacing w:val="0"/>
        <w:jc w:val="left"/>
      </w:pPr>
      <w:rPr>
        <w:rFonts w:ascii="Arial" w:hAnsi="Arial"/>
        <w:b/>
        <w:sz w:val="22"/>
      </w:rPr>
      <w:tblPr/>
      <w:trPr>
        <w:cantSplit/>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FBFBF" w:themeFill="background1" w:themeFillShade="BF"/>
        <w:vAlign w:val="center"/>
      </w:tcPr>
    </w:tblStylePr>
  </w:style>
  <w:style w:type="character" w:customStyle="1" w:styleId="Heading8Char">
    <w:name w:val="Heading 8 Char"/>
    <w:basedOn w:val="DefaultParagraphFont"/>
    <w:link w:val="Heading8"/>
    <w:uiPriority w:val="9"/>
    <w:rsid w:val="00597C89"/>
    <w:rPr>
      <w:b/>
      <w:color w:val="606060"/>
    </w:rPr>
  </w:style>
  <w:style w:type="table" w:styleId="TableTheme">
    <w:name w:val="Table Theme"/>
    <w:basedOn w:val="TableNormal"/>
    <w:uiPriority w:val="99"/>
    <w:semiHidden/>
    <w:unhideWhenUsed/>
    <w:rsid w:val="0076350D"/>
    <w:pPr>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597C89"/>
    <w:rPr>
      <w:b/>
      <w:color w:val="000000" w:themeColor="text1"/>
    </w:rPr>
  </w:style>
  <w:style w:type="numbering" w:customStyle="1" w:styleId="NTGTableList">
    <w:name w:val="NTG Table List"/>
    <w:uiPriority w:val="99"/>
    <w:rsid w:val="0076350D"/>
    <w:pPr>
      <w:numPr>
        <w:numId w:val="4"/>
      </w:numPr>
    </w:pPr>
  </w:style>
  <w:style w:type="character" w:styleId="FollowedHyperlink">
    <w:name w:val="FollowedHyperlink"/>
    <w:basedOn w:val="DefaultParagraphFont"/>
    <w:uiPriority w:val="99"/>
    <w:semiHidden/>
    <w:rsid w:val="0076350D"/>
    <w:rPr>
      <w:color w:val="800080" w:themeColor="followedHyperlink"/>
      <w:u w:val="single"/>
    </w:rPr>
  </w:style>
  <w:style w:type="numbering" w:customStyle="1" w:styleId="NTGStandardNumList">
    <w:name w:val="NTG Standard Num List"/>
    <w:uiPriority w:val="99"/>
    <w:rsid w:val="0076350D"/>
    <w:pPr>
      <w:numPr>
        <w:numId w:val="5"/>
      </w:numPr>
    </w:pPr>
  </w:style>
  <w:style w:type="paragraph" w:styleId="ListBullet4">
    <w:name w:val="List Bullet 4"/>
    <w:basedOn w:val="Normal"/>
    <w:uiPriority w:val="99"/>
    <w:rsid w:val="0076350D"/>
    <w:pPr>
      <w:numPr>
        <w:ilvl w:val="3"/>
        <w:numId w:val="48"/>
      </w:numPr>
    </w:pPr>
    <w:rPr>
      <w:rFonts w:eastAsia="Times New Roman"/>
      <w:iCs/>
      <w:szCs w:val="20"/>
      <w:lang w:eastAsia="en-AU"/>
    </w:rPr>
  </w:style>
  <w:style w:type="paragraph" w:styleId="ListBullet5">
    <w:name w:val="List Bullet 5"/>
    <w:basedOn w:val="Normal"/>
    <w:uiPriority w:val="99"/>
    <w:rsid w:val="0076350D"/>
    <w:pPr>
      <w:numPr>
        <w:ilvl w:val="4"/>
        <w:numId w:val="48"/>
      </w:numPr>
    </w:pPr>
    <w:rPr>
      <w:rFonts w:eastAsia="Times New Roman"/>
      <w:iCs/>
      <w:szCs w:val="20"/>
      <w:lang w:eastAsia="en-AU"/>
    </w:rPr>
  </w:style>
  <w:style w:type="paragraph" w:styleId="ListNumber">
    <w:name w:val="List Number"/>
    <w:basedOn w:val="Normal"/>
    <w:uiPriority w:val="99"/>
    <w:rsid w:val="0076350D"/>
    <w:pPr>
      <w:numPr>
        <w:numId w:val="5"/>
      </w:numPr>
    </w:pPr>
    <w:rPr>
      <w:rFonts w:eastAsia="Times New Roman"/>
      <w:szCs w:val="20"/>
      <w:lang w:eastAsia="en-AU"/>
      <w14:scene3d>
        <w14:camera w14:prst="orthographicFront"/>
        <w14:lightRig w14:rig="threePt" w14:dir="t">
          <w14:rot w14:lat="0" w14:lon="0" w14:rev="0"/>
        </w14:lightRig>
      </w14:scene3d>
    </w:rPr>
  </w:style>
  <w:style w:type="paragraph" w:styleId="ListNumber2">
    <w:name w:val="List Number 2"/>
    <w:basedOn w:val="Normal"/>
    <w:uiPriority w:val="99"/>
    <w:rsid w:val="0076350D"/>
    <w:pPr>
      <w:numPr>
        <w:ilvl w:val="1"/>
        <w:numId w:val="5"/>
      </w:numPr>
    </w:pPr>
    <w:rPr>
      <w:rFonts w:eastAsia="Times New Roman"/>
      <w:iCs/>
      <w:szCs w:val="20"/>
      <w:lang w:eastAsia="en-AU"/>
    </w:rPr>
  </w:style>
  <w:style w:type="paragraph" w:styleId="ListNumber3">
    <w:name w:val="List Number 3"/>
    <w:basedOn w:val="Normal"/>
    <w:uiPriority w:val="99"/>
    <w:rsid w:val="00F929D2"/>
    <w:pPr>
      <w:numPr>
        <w:ilvl w:val="2"/>
        <w:numId w:val="5"/>
      </w:numPr>
    </w:pPr>
    <w:rPr>
      <w:rFonts w:eastAsia="Times New Roman"/>
      <w:iCs/>
      <w:szCs w:val="20"/>
      <w:lang w:eastAsia="en-AU"/>
    </w:rPr>
  </w:style>
  <w:style w:type="paragraph" w:styleId="ListNumber4">
    <w:name w:val="List Number 4"/>
    <w:basedOn w:val="Normal"/>
    <w:uiPriority w:val="99"/>
    <w:rsid w:val="0076350D"/>
    <w:pPr>
      <w:numPr>
        <w:ilvl w:val="3"/>
        <w:numId w:val="5"/>
      </w:numPr>
    </w:pPr>
    <w:rPr>
      <w:rFonts w:eastAsia="Times New Roman"/>
      <w:iCs/>
      <w:szCs w:val="20"/>
      <w:lang w:eastAsia="en-AU"/>
    </w:rPr>
  </w:style>
  <w:style w:type="paragraph" w:styleId="ListNumber5">
    <w:name w:val="List Number 5"/>
    <w:basedOn w:val="Normal"/>
    <w:uiPriority w:val="99"/>
    <w:rsid w:val="0076350D"/>
    <w:pPr>
      <w:numPr>
        <w:ilvl w:val="4"/>
        <w:numId w:val="5"/>
      </w:numPr>
    </w:pPr>
    <w:rPr>
      <w:rFonts w:eastAsia="Times New Roman"/>
      <w:iCs/>
      <w:szCs w:val="20"/>
      <w:lang w:eastAsia="en-AU"/>
    </w:rPr>
  </w:style>
  <w:style w:type="paragraph" w:styleId="TOC6">
    <w:name w:val="toc 6"/>
    <w:basedOn w:val="Normal"/>
    <w:next w:val="Normal"/>
    <w:uiPriority w:val="39"/>
    <w:rsid w:val="00844732"/>
    <w:pPr>
      <w:tabs>
        <w:tab w:val="left" w:leader="dot" w:pos="2410"/>
        <w:tab w:val="right" w:leader="dot" w:pos="9639"/>
      </w:tabs>
      <w:spacing w:after="60"/>
      <w:ind w:left="2410" w:hanging="1418"/>
      <w:contextualSpacing/>
    </w:pPr>
    <w:rPr>
      <w:noProof/>
    </w:rPr>
  </w:style>
  <w:style w:type="paragraph" w:styleId="TOC7">
    <w:name w:val="toc 7"/>
    <w:basedOn w:val="Normal"/>
    <w:next w:val="Normal"/>
    <w:uiPriority w:val="39"/>
    <w:rsid w:val="00844732"/>
    <w:pPr>
      <w:tabs>
        <w:tab w:val="left" w:leader="dot" w:pos="2693"/>
        <w:tab w:val="right" w:leader="dot" w:pos="9639"/>
      </w:tabs>
      <w:spacing w:after="60"/>
      <w:ind w:left="2693" w:hanging="1559"/>
      <w:contextualSpacing/>
    </w:pPr>
    <w:rPr>
      <w:noProof/>
    </w:rPr>
  </w:style>
  <w:style w:type="paragraph" w:styleId="TOC8">
    <w:name w:val="toc 8"/>
    <w:basedOn w:val="Normal"/>
    <w:next w:val="Normal"/>
    <w:uiPriority w:val="39"/>
    <w:rsid w:val="00844732"/>
    <w:pPr>
      <w:tabs>
        <w:tab w:val="left" w:leader="dot" w:pos="3119"/>
        <w:tab w:val="right" w:leader="dot" w:pos="9639"/>
      </w:tabs>
      <w:spacing w:after="60"/>
      <w:ind w:left="3119" w:hanging="1843"/>
      <w:contextualSpacing/>
    </w:pPr>
    <w:rPr>
      <w:noProof/>
    </w:rPr>
  </w:style>
  <w:style w:type="paragraph" w:styleId="TOC9">
    <w:name w:val="toc 9"/>
    <w:basedOn w:val="Normal"/>
    <w:next w:val="Normal"/>
    <w:uiPriority w:val="39"/>
    <w:rsid w:val="00844732"/>
    <w:pPr>
      <w:tabs>
        <w:tab w:val="left" w:leader="dot" w:pos="3402"/>
        <w:tab w:val="right" w:leader="dot" w:pos="9639"/>
      </w:tabs>
      <w:spacing w:after="100"/>
      <w:ind w:left="3403" w:hanging="1985"/>
    </w:pPr>
    <w:rPr>
      <w:noProof/>
    </w:rPr>
  </w:style>
  <w:style w:type="paragraph" w:styleId="BlockText">
    <w:name w:val="Block Text"/>
    <w:basedOn w:val="Normal"/>
    <w:unhideWhenUsed/>
    <w:rsid w:val="00062A78"/>
    <w:pPr>
      <w:ind w:left="720"/>
    </w:pPr>
    <w:rPr>
      <w:rFonts w:eastAsiaTheme="minorEastAsia"/>
      <w:iCs/>
      <w:szCs w:val="20"/>
      <w:lang w:eastAsia="en-AU"/>
    </w:rPr>
  </w:style>
  <w:style w:type="paragraph" w:styleId="NoSpacing">
    <w:name w:val="No Spacing"/>
    <w:uiPriority w:val="1"/>
    <w:qFormat/>
    <w:rsid w:val="004653D1"/>
    <w:rPr>
      <w:szCs w:val="20"/>
    </w:rPr>
  </w:style>
  <w:style w:type="paragraph" w:customStyle="1" w:styleId="NumberedPara">
    <w:name w:val="Numbered Para"/>
    <w:basedOn w:val="ListParagraph"/>
    <w:autoRedefine/>
    <w:qFormat/>
    <w:rsid w:val="00B533D4"/>
    <w:pPr>
      <w:widowControl w:val="0"/>
      <w:numPr>
        <w:numId w:val="7"/>
      </w:numPr>
      <w:spacing w:before="200"/>
      <w:ind w:right="-284"/>
      <w:contextualSpacing w:val="0"/>
    </w:pPr>
  </w:style>
  <w:style w:type="paragraph" w:customStyle="1" w:styleId="StyleHeading4BottomSinglesolidlineAuto05ptLinewi">
    <w:name w:val="Style Heading 4 + Bottom: (Single solid line Auto  0.5 pt Line wi..."/>
    <w:basedOn w:val="Heading4"/>
    <w:rsid w:val="00F929D2"/>
    <w:pPr>
      <w:spacing w:after="240"/>
      <w:ind w:left="432" w:hanging="432"/>
    </w:pPr>
    <w:rPr>
      <w:iCs/>
    </w:rPr>
  </w:style>
  <w:style w:type="character" w:styleId="CommentReference">
    <w:name w:val="annotation reference"/>
    <w:basedOn w:val="DefaultParagraphFont"/>
    <w:uiPriority w:val="99"/>
    <w:semiHidden/>
    <w:rsid w:val="006C58BE"/>
    <w:rPr>
      <w:sz w:val="16"/>
      <w:szCs w:val="16"/>
    </w:rPr>
  </w:style>
  <w:style w:type="paragraph" w:styleId="CommentText">
    <w:name w:val="annotation text"/>
    <w:basedOn w:val="Normal"/>
    <w:link w:val="CommentTextChar"/>
    <w:uiPriority w:val="99"/>
    <w:semiHidden/>
    <w:rsid w:val="006C58BE"/>
    <w:rPr>
      <w:sz w:val="20"/>
      <w:szCs w:val="20"/>
    </w:rPr>
  </w:style>
  <w:style w:type="character" w:customStyle="1" w:styleId="CommentTextChar">
    <w:name w:val="Comment Text Char"/>
    <w:basedOn w:val="DefaultParagraphFont"/>
    <w:link w:val="CommentText"/>
    <w:uiPriority w:val="99"/>
    <w:semiHidden/>
    <w:rsid w:val="006C58BE"/>
    <w:rPr>
      <w:sz w:val="20"/>
      <w:szCs w:val="20"/>
    </w:rPr>
  </w:style>
  <w:style w:type="paragraph" w:styleId="CommentSubject">
    <w:name w:val="annotation subject"/>
    <w:basedOn w:val="CommentText"/>
    <w:next w:val="CommentText"/>
    <w:link w:val="CommentSubjectChar"/>
    <w:uiPriority w:val="99"/>
    <w:semiHidden/>
    <w:rsid w:val="006C58BE"/>
    <w:rPr>
      <w:b/>
      <w:bCs/>
    </w:rPr>
  </w:style>
  <w:style w:type="character" w:customStyle="1" w:styleId="CommentSubjectChar">
    <w:name w:val="Comment Subject Char"/>
    <w:basedOn w:val="CommentTextChar"/>
    <w:link w:val="CommentSubject"/>
    <w:uiPriority w:val="99"/>
    <w:semiHidden/>
    <w:rsid w:val="006C58BE"/>
    <w:rPr>
      <w:b/>
      <w:bCs/>
      <w:sz w:val="20"/>
      <w:szCs w:val="20"/>
    </w:rPr>
  </w:style>
  <w:style w:type="paragraph" w:styleId="Revision">
    <w:name w:val="Revision"/>
    <w:hidden/>
    <w:uiPriority w:val="99"/>
    <w:semiHidden/>
    <w:rsid w:val="006C58BE"/>
  </w:style>
  <w:style w:type="character" w:styleId="SubtleEmphasis">
    <w:name w:val="Subtle Emphasis"/>
    <w:basedOn w:val="DefaultParagraphFont"/>
    <w:uiPriority w:val="19"/>
    <w:rsid w:val="006777C6"/>
    <w:rPr>
      <w:i/>
      <w:iCs/>
      <w:color w:val="404040" w:themeColor="text1" w:themeTint="BF"/>
    </w:rPr>
  </w:style>
  <w:style w:type="paragraph" w:customStyle="1" w:styleId="RuleStatement">
    <w:name w:val="Rule Statement"/>
    <w:basedOn w:val="Heading4"/>
    <w:link w:val="RuleStatementChar"/>
    <w:qFormat/>
    <w:rsid w:val="00F076B1"/>
    <w:pPr>
      <w:keepLines/>
      <w:pBdr>
        <w:top w:val="single" w:sz="4" w:space="8" w:color="auto"/>
        <w:left w:val="single" w:sz="4" w:space="8" w:color="auto"/>
        <w:bottom w:val="single" w:sz="4" w:space="8" w:color="auto"/>
        <w:right w:val="single" w:sz="4" w:space="8" w:color="auto"/>
      </w:pBdr>
      <w:spacing w:before="200"/>
      <w:ind w:left="1134" w:right="-285"/>
      <w:outlineLvl w:val="9"/>
    </w:pPr>
    <w:rPr>
      <w:rFonts w:eastAsia="Calibri" w:cs="Arial"/>
      <w:color w:val="000000"/>
      <w:szCs w:val="26"/>
      <w14:textFill>
        <w14:solidFill>
          <w14:srgbClr w14:val="000000">
            <w14:lumMod w14:val="75000"/>
          </w14:srgbClr>
        </w14:solidFill>
      </w14:textFill>
    </w:rPr>
  </w:style>
  <w:style w:type="character" w:customStyle="1" w:styleId="RuleStatementChar">
    <w:name w:val="Rule Statement Char"/>
    <w:basedOn w:val="Heading3Char"/>
    <w:link w:val="RuleStatement"/>
    <w:rsid w:val="00F076B1"/>
    <w:rPr>
      <w:rFonts w:cs="Arial"/>
      <w:b/>
      <w:bCs/>
      <w:color w:val="000000"/>
      <w:sz w:val="28"/>
      <w:szCs w:val="26"/>
      <w14:textFill>
        <w14:solidFill>
          <w14:srgbClr w14:val="000000">
            <w14:lumMod w14:val="75000"/>
          </w14:srgbClr>
        </w14:solidFill>
      </w14:textFil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679393">
      <w:bodyDiv w:val="1"/>
      <w:marLeft w:val="0"/>
      <w:marRight w:val="0"/>
      <w:marTop w:val="0"/>
      <w:marBottom w:val="0"/>
      <w:divBdr>
        <w:top w:val="none" w:sz="0" w:space="0" w:color="auto"/>
        <w:left w:val="none" w:sz="0" w:space="0" w:color="auto"/>
        <w:bottom w:val="none" w:sz="0" w:space="0" w:color="auto"/>
        <w:right w:val="none" w:sz="0" w:space="0" w:color="auto"/>
      </w:divBdr>
    </w:div>
    <w:div w:id="611401889">
      <w:bodyDiv w:val="1"/>
      <w:marLeft w:val="0"/>
      <w:marRight w:val="0"/>
      <w:marTop w:val="0"/>
      <w:marBottom w:val="0"/>
      <w:divBdr>
        <w:top w:val="none" w:sz="0" w:space="0" w:color="auto"/>
        <w:left w:val="none" w:sz="0" w:space="0" w:color="auto"/>
        <w:bottom w:val="none" w:sz="0" w:space="0" w:color="auto"/>
        <w:right w:val="none" w:sz="0" w:space="0" w:color="auto"/>
      </w:divBdr>
    </w:div>
    <w:div w:id="668289413">
      <w:bodyDiv w:val="1"/>
      <w:marLeft w:val="0"/>
      <w:marRight w:val="0"/>
      <w:marTop w:val="0"/>
      <w:marBottom w:val="0"/>
      <w:divBdr>
        <w:top w:val="none" w:sz="0" w:space="0" w:color="auto"/>
        <w:left w:val="none" w:sz="0" w:space="0" w:color="auto"/>
        <w:bottom w:val="none" w:sz="0" w:space="0" w:color="auto"/>
        <w:right w:val="none" w:sz="0" w:space="0" w:color="auto"/>
      </w:divBdr>
    </w:div>
    <w:div w:id="674579149">
      <w:bodyDiv w:val="1"/>
      <w:marLeft w:val="0"/>
      <w:marRight w:val="0"/>
      <w:marTop w:val="0"/>
      <w:marBottom w:val="0"/>
      <w:divBdr>
        <w:top w:val="none" w:sz="0" w:space="0" w:color="auto"/>
        <w:left w:val="none" w:sz="0" w:space="0" w:color="auto"/>
        <w:bottom w:val="none" w:sz="0" w:space="0" w:color="auto"/>
        <w:right w:val="none" w:sz="0" w:space="0" w:color="auto"/>
      </w:divBdr>
    </w:div>
    <w:div w:id="1534145918">
      <w:bodyDiv w:val="1"/>
      <w:marLeft w:val="0"/>
      <w:marRight w:val="0"/>
      <w:marTop w:val="0"/>
      <w:marBottom w:val="0"/>
      <w:divBdr>
        <w:top w:val="none" w:sz="0" w:space="0" w:color="auto"/>
        <w:left w:val="none" w:sz="0" w:space="0" w:color="auto"/>
        <w:bottom w:val="none" w:sz="0" w:space="0" w:color="auto"/>
        <w:right w:val="none" w:sz="0" w:space="0" w:color="auto"/>
      </w:divBdr>
    </w:div>
    <w:div w:id="1748653089">
      <w:bodyDiv w:val="1"/>
      <w:marLeft w:val="0"/>
      <w:marRight w:val="0"/>
      <w:marTop w:val="0"/>
      <w:marBottom w:val="0"/>
      <w:divBdr>
        <w:top w:val="none" w:sz="0" w:space="0" w:color="auto"/>
        <w:left w:val="none" w:sz="0" w:space="0" w:color="auto"/>
        <w:bottom w:val="none" w:sz="0" w:space="0" w:color="auto"/>
        <w:right w:val="none" w:sz="0" w:space="0" w:color="auto"/>
      </w:divBdr>
    </w:div>
    <w:div w:id="1829860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en.wikipedia.org/wiki/Data_model" TargetMode="Externa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8AAA4ED6C54DE89AAB1674EDE85712"/>
        <w:category>
          <w:name w:val="General"/>
          <w:gallery w:val="placeholder"/>
        </w:category>
        <w:types>
          <w:type w:val="bbPlcHdr"/>
        </w:types>
        <w:behaviors>
          <w:behavior w:val="content"/>
        </w:behaviors>
        <w:guid w:val="{57A6BBB8-46D9-4110-83A0-EFDA02B9C9F0}"/>
      </w:docPartPr>
      <w:docPartBody>
        <w:p w:rsidR="00BF0558" w:rsidRDefault="00BF0558">
          <w:pPr>
            <w:pStyle w:val="058AAA4ED6C54DE89AAB1674EDE85712"/>
          </w:pPr>
          <w:r w:rsidRPr="000C7A6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Lato Black">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558"/>
    <w:rsid w:val="0001469B"/>
    <w:rsid w:val="00091501"/>
    <w:rsid w:val="000B6E46"/>
    <w:rsid w:val="001328D1"/>
    <w:rsid w:val="00137830"/>
    <w:rsid w:val="001757FF"/>
    <w:rsid w:val="001D5642"/>
    <w:rsid w:val="00357B30"/>
    <w:rsid w:val="00390173"/>
    <w:rsid w:val="004D19EE"/>
    <w:rsid w:val="00556BB6"/>
    <w:rsid w:val="006010EA"/>
    <w:rsid w:val="00635E16"/>
    <w:rsid w:val="00642B35"/>
    <w:rsid w:val="006E08AF"/>
    <w:rsid w:val="00897B9B"/>
    <w:rsid w:val="00964735"/>
    <w:rsid w:val="00BB3202"/>
    <w:rsid w:val="00BF0558"/>
    <w:rsid w:val="00C12035"/>
    <w:rsid w:val="00CE0BC1"/>
    <w:rsid w:val="00D5474F"/>
    <w:rsid w:val="00D94CD8"/>
    <w:rsid w:val="00DA0233"/>
    <w:rsid w:val="00DA360B"/>
    <w:rsid w:val="00DD4AB9"/>
    <w:rsid w:val="00F15649"/>
    <w:rsid w:val="00F307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58AAA4ED6C54DE89AAB1674EDE85712">
    <w:name w:val="058AAA4ED6C54DE89AAB1674EDE857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E6706-184D-4A12-973D-785C35DCA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5971</Words>
  <Characters>34038</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Northern Territory Public Sector Organisations Records and Information Management Standard</vt:lpstr>
    </vt:vector>
  </TitlesOfParts>
  <Company>Northern Territory Government</Company>
  <LinksUpToDate>false</LinksUpToDate>
  <CharactersWithSpaces>39930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Northern Territory Public Sector Organisations Records and Information Management Standard</dc:title>
  <dc:creator>Office of Digital Policy</dc:creator>
  <cp:lastModifiedBy>Fiona Easton</cp:lastModifiedBy>
  <cp:revision>7</cp:revision>
  <cp:lastPrinted>2018-02-15T03:30:00Z</cp:lastPrinted>
  <dcterms:created xsi:type="dcterms:W3CDTF">2018-02-15T03:29:00Z</dcterms:created>
  <dcterms:modified xsi:type="dcterms:W3CDTF">2018-02-15T03:30:00Z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Date">
    <vt:lpwstr>23 October 2017</vt:lpwstr>
  </property>
  <property fmtid="{D5CDD505-2E9C-101B-9397-08002B2CF9AE}" pid="3" name="VersionNo">
    <vt:lpwstr>1.1</vt:lpwstr>
  </property>
  <property fmtid="{D5CDD505-2E9C-101B-9397-08002B2CF9AE}" pid="4" name="DocumentAuthor">
    <vt:lpwstr>Office of Digital Policy</vt:lpwstr>
  </property>
  <property fmtid="{D5CDD505-2E9C-101B-9397-08002B2CF9AE}" pid="5" name="DepartmentName">
    <vt:lpwstr>Corporate and Information Services</vt:lpwstr>
  </property>
  <property fmtid="{D5CDD505-2E9C-101B-9397-08002B2CF9AE}" pid="6" name="DepartmentOf">
    <vt:lpwstr>Department of </vt:lpwstr>
  </property>
</Properties>
</file>